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jc w:val="center"/>
      </w:pPr>
      <w:r>
        <w:rPr>
          <w:rFonts w:ascii="Segoe UI Light" w:hAnsi="Segoe UI Light"/>
          <w:b/>
          <w:color w:val="1E3A5F"/>
          <w:sz w:val="44"/>
        </w:rPr>
        <w:t>Consultation Guide</w:t>
      </w:r>
    </w:p>
    <w:p>
      <w:pPr>
        <w:spacing w:before="80"/>
        <w:jc w:val="center"/>
      </w:pPr>
      <w:r>
        <w:rPr>
          <w:rFonts w:ascii="Segoe UI Light" w:hAnsi="Segoe UI Light"/>
          <w:color w:val="2D5A8E"/>
          <w:sz w:val="24"/>
        </w:rPr>
        <w:t>Follow-up focus group &amp; team check-in guide</w:t>
      </w:r>
    </w:p>
    <w:p>
      <w:pPr>
        <w:spacing w:before="240"/>
        <w:jc w:val="center"/>
      </w:pPr>
      <w:r>
        <w:rPr>
          <w:rFonts w:ascii="Segoe UI Light" w:hAnsi="Segoe UI Light"/>
          <w:color w:val="2D5A8E"/>
          <w:sz w:val="28"/>
        </w:rPr>
        <w:t>Test Org</w:t>
      </w:r>
    </w:p>
    <w:p>
      <w:pPr>
        <w:spacing w:before="400"/>
        <w:jc w:val="center"/>
      </w:pPr>
      <w:r>
        <w:rPr>
          <w:rFonts w:ascii="Segoe UI Light" w:hAnsi="Segoe UI Light"/>
          <w:color w:val="94A3B8"/>
          <w:sz w:val="18"/>
        </w:rPr>
        <w:t>Prepared by: Pat Egan · Date: 25/09/2026</w:t>
      </w:r>
    </w:p>
    <w:p>
      <w:r>
        <w:br w:type="page"/>
      </w:r>
    </w:p>
    <w:p>
      <w:pPr>
        <w:pStyle w:val="Heading1"/>
      </w:pPr>
      <w:r>
        <w:rPr>
          <w:rFonts w:ascii="Segoe UI Light" w:hAnsi="Segoe UI Light"/>
          <w:b/>
          <w:color w:val="1E3A5F"/>
          <w:sz w:val="28"/>
        </w:rPr>
        <w:t>Test Org: worker consultation guide</w:t>
      </w:r>
    </w:p>
    <w:p>
      <w:pPr>
        <w:spacing w:after="120"/>
      </w:pPr>
      <w:r>
        <w:rPr>
          <w:rFonts w:ascii="Segoe UI Light" w:hAnsi="Segoe UI Light"/>
          <w:sz w:val="21"/>
        </w:rPr>
        <w:t>This consultation will help Test Org assess working conditions, prevent harm and strengthen supports. The report suggests investigating excessive demands while protecting purposeful work and fair acknowledgement. Workers’ experience can clarify where these issues occur, what already works and which changes deserve action.</w:t>
      </w:r>
    </w:p>
    <w:p>
      <w:pPr>
        <w:spacing w:after="120"/>
      </w:pPr>
      <w:r>
        <w:rPr>
          <w:rFonts w:ascii="Segoe UI Light" w:hAnsi="Segoe UI Light"/>
          <w:sz w:val="21"/>
        </w:rPr>
        <w:t>The evidence comes from the supplied General Australian Workforce model, not established Test Org measurements. Its source and fitting coverage are unrecorded; prediction checks and uncertainty ranges are unavailable. Scenarios assume everyone experiences the specified conditions. They are hypothetical comparisons, not worker responses or forecasts of what proposed changes will achieve.</w:t>
      </w:r>
    </w:p>
    <w:p>
      <w:pPr>
        <w:pStyle w:val="Heading2"/>
      </w:pPr>
      <w:r>
        <w:rPr>
          <w:rFonts w:ascii="Segoe UI Light" w:hAnsi="Segoe UI Light"/>
          <w:b/>
          <w:color w:val="2D5A8E"/>
          <w:sz w:val="22"/>
        </w:rPr>
        <w:t>Working group: establish arrangements across teams</w:t>
      </w:r>
    </w:p>
    <w:p>
      <w:pPr>
        <w:pStyle w:val="ListBullet"/>
        <w:spacing w:after="60"/>
      </w:pPr>
      <w:r>
        <w:rPr>
          <w:rFonts w:ascii="Segoe UI Light" w:hAnsi="Segoe UI Light"/>
          <w:sz w:val="21"/>
        </w:rPr>
        <w:t>Suggest groups of 6–8 workers and a 70-minute session: 10 minutes opening, 8 minutes per factor and 20 minutes agreeing next steps.</w:t>
      </w:r>
    </w:p>
    <w:p>
      <w:pPr>
        <w:pStyle w:val="ListBullet"/>
        <w:spacing w:after="60"/>
      </w:pPr>
      <w:r>
        <w:rPr>
          <w:rFonts w:ascii="Segoe UI Light" w:hAnsi="Segoe UI Light"/>
          <w:sz w:val="21"/>
        </w:rPr>
        <w:t>Include different roles, shifts and work locations. Offer separate sessions where reporting relationships could limit open discussion, plus a private contribution option.</w:t>
      </w:r>
    </w:p>
    <w:p>
      <w:pPr>
        <w:pStyle w:val="ListBullet"/>
        <w:spacing w:after="60"/>
      </w:pPr>
      <w:r>
        <w:rPr>
          <w:rFonts w:ascii="Segoe UI Light" w:hAnsi="Segoe UI Light"/>
          <w:sz w:val="21"/>
        </w:rPr>
        <w:t>Arrange accessible participation during paid work time, with suitable coverage so attendance does not increase pressure elsewhere.</w:t>
      </w:r>
    </w:p>
    <w:p>
      <w:pPr>
        <w:pStyle w:val="ListBullet"/>
        <w:spacing w:after="60"/>
      </w:pPr>
      <w:r>
        <w:rPr>
          <w:rFonts w:ascii="Segoe UI Light" w:hAnsi="Segoe UI Light"/>
          <w:sz w:val="21"/>
        </w:rPr>
        <w:t>Nominate a facilitator and note-taker. Use the same core questions across teams, recording differences rather than forcing agreement.</w:t>
      </w:r>
    </w:p>
    <w:p>
      <w:pPr>
        <w:pStyle w:val="ListBullet"/>
        <w:spacing w:after="60"/>
      </w:pPr>
      <w:r>
        <w:rPr>
          <w:rFonts w:ascii="Segoe UI Light" w:hAnsi="Segoe UI Light"/>
          <w:sz w:val="21"/>
        </w:rPr>
        <w:t>Confirm who can approve changes, what improvements are already underway and where resource decisions must be escalated.</w:t>
      </w:r>
    </w:p>
    <w:p>
      <w:pPr>
        <w:spacing w:after="120"/>
      </w:pPr>
      <w:r>
        <w:rPr>
          <w:rFonts w:ascii="Segoe UI Light" w:hAnsi="Segoe UI Light"/>
          <w:b/>
          <w:sz w:val="21"/>
        </w:rPr>
        <w:t>Complete before the session:</w:t>
      </w:r>
    </w:p>
    <w:p>
      <w:pPr>
        <w:pStyle w:val="ListBullet"/>
        <w:spacing w:after="60"/>
      </w:pPr>
      <w:r>
        <w:rPr>
          <w:rFonts w:ascii="Segoe UI Light" w:hAnsi="Segoe UI Light"/>
          <w:sz w:val="21"/>
        </w:rPr>
        <w:t>Session/date and work group: __________</w:t>
      </w:r>
    </w:p>
    <w:p>
      <w:pPr>
        <w:pStyle w:val="ListBullet"/>
        <w:spacing w:after="60"/>
      </w:pPr>
      <w:r>
        <w:rPr>
          <w:rFonts w:ascii="Segoe UI Light" w:hAnsi="Segoe UI Light"/>
          <w:sz w:val="21"/>
        </w:rPr>
        <w:t>Facilitator and note-taker: __________</w:t>
      </w:r>
    </w:p>
    <w:p>
      <w:pPr>
        <w:pStyle w:val="ListBullet"/>
        <w:spacing w:after="60"/>
      </w:pPr>
      <w:r>
        <w:rPr>
          <w:rFonts w:ascii="Segoe UI Light" w:hAnsi="Segoe UI Light"/>
          <w:sz w:val="21"/>
        </w:rPr>
        <w:t>Contact for urgent concerns/private follow-up: __________</w:t>
      </w:r>
    </w:p>
    <w:p>
      <w:pPr>
        <w:pStyle w:val="ListBullet"/>
        <w:spacing w:after="60"/>
      </w:pPr>
      <w:r>
        <w:rPr>
          <w:rFonts w:ascii="Segoe UI Light" w:hAnsi="Segoe UI Light"/>
          <w:sz w:val="21"/>
        </w:rPr>
        <w:t>Available support contact: __________</w:t>
      </w:r>
    </w:p>
    <w:p>
      <w:pPr>
        <w:pStyle w:val="ListBullet"/>
        <w:spacing w:after="60"/>
      </w:pPr>
      <w:r>
        <w:rPr>
          <w:rFonts w:ascii="Segoe UI Light" w:hAnsi="Segoe UI Light"/>
          <w:sz w:val="21"/>
        </w:rPr>
        <w:t>Person responsible for reporting back, and date: __________</w:t>
      </w:r>
    </w:p>
    <w:p>
      <w:pPr>
        <w:pStyle w:val="Heading2"/>
      </w:pPr>
      <w:r>
        <w:rPr>
          <w:rFonts w:ascii="Segoe UI Light" w:hAnsi="Segoe UI Light"/>
          <w:b/>
          <w:color w:val="2D5A8E"/>
          <w:sz w:val="22"/>
        </w:rPr>
        <w:t>Open the session – 10 minutes</w:t>
      </w:r>
    </w:p>
    <w:p>
      <w:pPr>
        <w:spacing w:after="120"/>
      </w:pPr>
      <w:r>
        <w:rPr>
          <w:rFonts w:ascii="Segoe UI Light" w:hAnsi="Segoe UI Light"/>
          <w:sz w:val="21"/>
        </w:rPr>
        <w:t>Agree how contributions will be used, who can access notes and how notes will be stored. Propose reporting de-identified themes rather than names or identifiable examples. Explain that confidentiality between participants cannot be guaranteed and clarify any required escalation of serious safety concerns.</w:t>
      </w:r>
    </w:p>
    <w:p>
      <w:pPr>
        <w:spacing w:after="120"/>
      </w:pPr>
      <w:r>
        <w:rPr>
          <w:rFonts w:ascii="Segoe UI Light" w:hAnsi="Segoe UI Light"/>
          <w:sz w:val="21"/>
        </w:rPr>
        <w:t>Suggested opening:</w:t>
      </w:r>
    </w:p>
    <w:p>
      <w:pPr>
        <w:pStyle w:val="Quote"/>
      </w:pPr>
      <w:r>
        <w:rPr>
          <w:rFonts w:ascii="Segoe UI Light" w:hAnsi="Segoe UI Light"/>
          <w:sz w:val="21"/>
        </w:rPr>
        <w:t>“We’re discussing work arrangements, not assessing individuals. You can pass on any question, take a break or contribute privately. Please avoid names and respect different experiences. What would help everyone participate safely?”</w:t>
      </w:r>
    </w:p>
    <w:p>
      <w:pPr>
        <w:spacing w:after="120"/>
      </w:pPr>
      <w:r>
        <w:rPr>
          <w:rFonts w:ascii="Segoe UI Light" w:hAnsi="Segoe UI Light"/>
          <w:sz w:val="21"/>
        </w:rPr>
        <w:t>If immediate danger or serious harm is raised, pause and use the confirmed response pathway. Arrange private follow-up rather than investigating individual allegations in the group. Established harmful conditions need prompt attention, not a wait for consultation to finish.</w:t>
      </w:r>
    </w:p>
    <w:p>
      <w:pPr>
        <w:pStyle w:val="Heading2"/>
      </w:pPr>
      <w:r>
        <w:rPr>
          <w:rFonts w:ascii="Segoe UI Light" w:hAnsi="Segoe UI Light"/>
          <w:b/>
          <w:color w:val="2D5A8E"/>
          <w:sz w:val="22"/>
        </w:rPr>
        <w:t>Explore the five focus areas – 40 minutes</w:t>
      </w:r>
    </w:p>
    <w:p>
      <w:pPr>
        <w:spacing w:after="120"/>
      </w:pPr>
      <w:r>
        <w:rPr>
          <w:rFonts w:ascii="Segoe UI Light" w:hAnsi="Segoe UI Light"/>
          <w:sz w:val="21"/>
        </w:rPr>
        <w:t>Start with everyday experience. Use examples only if needed, without presenting them as known local problems.</w:t>
      </w:r>
    </w:p>
    <w:p>
      <w:pPr>
        <w:pStyle w:val="Heading3"/>
      </w:pPr>
      <w:r>
        <w:rPr>
          <w:rFonts w:ascii="Segoe UI Light" w:hAnsi="Segoe UI Light"/>
          <w:b/>
          <w:color w:val="2D5A8E"/>
          <w:sz w:val="21"/>
        </w:rPr>
        <w:t>1. Role Overload</w:t>
      </w:r>
    </w:p>
    <w:p>
      <w:pPr>
        <w:spacing w:after="120"/>
      </w:pPr>
      <w:r>
        <w:rPr>
          <w:rFonts w:ascii="Segoe UI Light" w:hAnsi="Segoe UI Light"/>
          <w:sz w:val="21"/>
        </w:rPr>
        <w:t>The amount, pace or time pressure of work exceeds what a worker can reasonably manage.</w:t>
      </w:r>
    </w:p>
    <w:p>
      <w:pPr>
        <w:pStyle w:val="ListBullet"/>
        <w:spacing w:after="60"/>
      </w:pPr>
      <w:r>
        <w:rPr>
          <w:rFonts w:ascii="Segoe UI Light" w:hAnsi="Segoe UI Light"/>
          <w:sz w:val="21"/>
        </w:rPr>
        <w:t>“How does required work fit the time and resources available? When does that vary?”</w:t>
      </w:r>
    </w:p>
    <w:p>
      <w:pPr>
        <w:pStyle w:val="ListBullet"/>
        <w:spacing w:after="60"/>
      </w:pPr>
      <w:r>
        <w:rPr>
          <w:rFonts w:ascii="Segoe UI Light" w:hAnsi="Segoe UI Light"/>
          <w:sz w:val="21"/>
        </w:rPr>
        <w:t>“When demands compete, how are priorities decided, and what help is available?”</w:t>
      </w:r>
    </w:p>
    <w:p>
      <w:pPr>
        <w:pStyle w:val="ListBullet"/>
        <w:spacing w:after="60"/>
      </w:pPr>
      <w:r>
        <w:rPr>
          <w:rFonts w:ascii="Segoe UI Light" w:hAnsi="Segoe UI Light"/>
          <w:sz w:val="21"/>
        </w:rPr>
        <w:t>“What work or support should be protected if tasks, deadlines or staffing arrangements change?”</w:t>
      </w:r>
    </w:p>
    <w:p>
      <w:pPr>
        <w:spacing w:after="120"/>
      </w:pPr>
      <w:r>
        <w:rPr>
          <w:rFonts w:ascii="Segoe UI Light" w:hAnsi="Segoe UI Light"/>
          <w:b/>
          <w:sz w:val="21"/>
        </w:rPr>
        <w:t>Decision use:</w:t>
      </w:r>
      <w:r>
        <w:rPr>
          <w:rFonts w:ascii="Segoe UI Light" w:hAnsi="Segoe UI Light"/>
          <w:sz w:val="21"/>
        </w:rPr>
        <w:t xml:space="preserve"> Distinguish unnecessary tasks, unclear priorities and essential work exceeding capacity. This guides whether to simplify, defer, clarify or seek resources. The report shows a small modelled engagement loss alongside workload relief, so identify valued work rather than remove tasks indiscriminately.</w:t>
      </w:r>
    </w:p>
    <w:p>
      <w:pPr>
        <w:pStyle w:val="Heading3"/>
      </w:pPr>
      <w:r>
        <w:rPr>
          <w:rFonts w:ascii="Segoe UI Light" w:hAnsi="Segoe UI Light"/>
          <w:b/>
          <w:color w:val="2D5A8E"/>
          <w:sz w:val="21"/>
        </w:rPr>
        <w:t>2. Meaningful Work</w:t>
      </w:r>
    </w:p>
    <w:p>
      <w:pPr>
        <w:spacing w:after="120"/>
      </w:pPr>
      <w:r>
        <w:rPr>
          <w:rFonts w:ascii="Segoe UI Light" w:hAnsi="Segoe UI Light"/>
          <w:sz w:val="21"/>
        </w:rPr>
        <w:t>Work feels worthwhile, uses workers’ strengths and makes their contribution clear.</w:t>
      </w:r>
    </w:p>
    <w:p>
      <w:pPr>
        <w:pStyle w:val="ListBullet"/>
        <w:spacing w:after="60"/>
      </w:pPr>
      <w:r>
        <w:rPr>
          <w:rFonts w:ascii="Segoe UI Light" w:hAnsi="Segoe UI Light"/>
          <w:sz w:val="21"/>
        </w:rPr>
        <w:t>“Which parts of your work feel worthwhile, and what makes them so?”</w:t>
      </w:r>
    </w:p>
    <w:p>
      <w:pPr>
        <w:pStyle w:val="ListBullet"/>
        <w:spacing w:after="60"/>
      </w:pPr>
      <w:r>
        <w:rPr>
          <w:rFonts w:ascii="Segoe UI Light" w:hAnsi="Segoe UI Light"/>
          <w:sz w:val="21"/>
        </w:rPr>
        <w:t>“What helps or gets in the way of doing that work?”</w:t>
      </w:r>
    </w:p>
    <w:p>
      <w:pPr>
        <w:pStyle w:val="ListBullet"/>
        <w:spacing w:after="60"/>
      </w:pPr>
      <w:r>
        <w:rPr>
          <w:rFonts w:ascii="Segoe UI Light" w:hAnsi="Segoe UI Light"/>
          <w:sz w:val="21"/>
        </w:rPr>
        <w:t>“What changes, if any, would help you use your strengths without adding unmanageable responsibilities?”</w:t>
      </w:r>
    </w:p>
    <w:p>
      <w:pPr>
        <w:spacing w:after="120"/>
      </w:pPr>
      <w:r>
        <w:rPr>
          <w:rFonts w:ascii="Segoe UI Light" w:hAnsi="Segoe UI Light"/>
          <w:b/>
          <w:sz w:val="21"/>
        </w:rPr>
        <w:t>Decision use:</w:t>
      </w:r>
      <w:r>
        <w:rPr>
          <w:rFonts w:ascii="Segoe UI Light" w:hAnsi="Segoe UI Light"/>
          <w:sz w:val="21"/>
        </w:rPr>
        <w:t xml:space="preserve"> Identify purposeful tasks and arrangements worth retaining. Answers can guide protecting time for core work or explaining its contribution, without adding duties under the banner of purpose.</w:t>
      </w:r>
    </w:p>
    <w:p>
      <w:pPr>
        <w:pStyle w:val="Heading3"/>
      </w:pPr>
      <w:r>
        <w:rPr>
          <w:rFonts w:ascii="Segoe UI Light" w:hAnsi="Segoe UI Light"/>
          <w:b/>
          <w:color w:val="2D5A8E"/>
          <w:sz w:val="21"/>
        </w:rPr>
        <w:t>3. Work Life Conflict</w:t>
      </w:r>
    </w:p>
    <w:p>
      <w:pPr>
        <w:spacing w:after="120"/>
      </w:pPr>
      <w:r>
        <w:rPr>
          <w:rFonts w:ascii="Segoe UI Light" w:hAnsi="Segoe UI Light"/>
          <w:sz w:val="21"/>
        </w:rPr>
        <w:t>Work interferes with home life, relationships or responsibilities outside work.</w:t>
      </w:r>
    </w:p>
    <w:p>
      <w:pPr>
        <w:pStyle w:val="ListBullet"/>
        <w:spacing w:after="60"/>
      </w:pPr>
      <w:r>
        <w:rPr>
          <w:rFonts w:ascii="Segoe UI Light" w:hAnsi="Segoe UI Light"/>
          <w:sz w:val="21"/>
        </w:rPr>
        <w:t>“How, if at all, does work affect life outside work?”</w:t>
      </w:r>
    </w:p>
    <w:p>
      <w:pPr>
        <w:pStyle w:val="ListBullet"/>
        <w:spacing w:after="60"/>
      </w:pPr>
      <w:r>
        <w:rPr>
          <w:rFonts w:ascii="Segoe UI Light" w:hAnsi="Segoe UI Light"/>
          <w:sz w:val="21"/>
        </w:rPr>
        <w:t>“What about work arrangements makes that easier or harder?”</w:t>
      </w:r>
    </w:p>
    <w:p>
      <w:pPr>
        <w:pStyle w:val="ListBullet"/>
        <w:spacing w:after="60"/>
      </w:pPr>
      <w:r>
        <w:rPr>
          <w:rFonts w:ascii="Segoe UI Light" w:hAnsi="Segoe UI Light"/>
          <w:sz w:val="21"/>
        </w:rPr>
        <w:t>“What happens when you need predictability, time away or a change to your usual arrangements?”</w:t>
      </w:r>
    </w:p>
    <w:p>
      <w:pPr>
        <w:spacing w:after="120"/>
      </w:pPr>
      <w:r>
        <w:rPr>
          <w:rFonts w:ascii="Segoe UI Light" w:hAnsi="Segoe UI Light"/>
          <w:b/>
          <w:sz w:val="21"/>
        </w:rPr>
        <w:t>Decision use:</w:t>
      </w:r>
      <w:r>
        <w:rPr>
          <w:rFonts w:ascii="Segoe UI Light" w:hAnsi="Segoe UI Light"/>
          <w:sz w:val="21"/>
        </w:rPr>
        <w:t xml:space="preserve"> Establish whether work volume, scheduling, after-hours expectations or other conditions need attention. Different answers may call for capacity changes, more predictable schedules or both. Avoid seeking private family details.</w:t>
      </w:r>
    </w:p>
    <w:p>
      <w:pPr>
        <w:pStyle w:val="Heading3"/>
      </w:pPr>
      <w:r>
        <w:rPr>
          <w:rFonts w:ascii="Segoe UI Light" w:hAnsi="Segoe UI Light"/>
          <w:b/>
          <w:color w:val="2D5A8E"/>
          <w:sz w:val="21"/>
        </w:rPr>
        <w:t>4. Recognition</w:t>
      </w:r>
    </w:p>
    <w:p>
      <w:pPr>
        <w:spacing w:after="120"/>
      </w:pPr>
      <w:r>
        <w:rPr>
          <w:rFonts w:ascii="Segoe UI Light" w:hAnsi="Segoe UI Light"/>
          <w:sz w:val="21"/>
        </w:rPr>
        <w:t>Feedback and acknowledgement, including fair pay and opportunities to progress.</w:t>
      </w:r>
    </w:p>
    <w:p>
      <w:pPr>
        <w:pStyle w:val="ListBullet"/>
        <w:spacing w:after="60"/>
      </w:pPr>
      <w:r>
        <w:rPr>
          <w:rFonts w:ascii="Segoe UI Light" w:hAnsi="Segoe UI Light"/>
          <w:sz w:val="21"/>
        </w:rPr>
        <w:t>“How is workers’ contribution noticed and acknowledged here?”</w:t>
      </w:r>
    </w:p>
    <w:p>
      <w:pPr>
        <w:pStyle w:val="ListBullet"/>
        <w:spacing w:after="60"/>
      </w:pPr>
      <w:r>
        <w:rPr>
          <w:rFonts w:ascii="Segoe UI Light" w:hAnsi="Segoe UI Light"/>
          <w:sz w:val="21"/>
        </w:rPr>
        <w:t>“What makes feedback, rewards and opportunities feel fair or unfair?”</w:t>
      </w:r>
    </w:p>
    <w:p>
      <w:pPr>
        <w:pStyle w:val="ListBullet"/>
        <w:spacing w:after="60"/>
      </w:pPr>
      <w:r>
        <w:rPr>
          <w:rFonts w:ascii="Segoe UI Light" w:hAnsi="Segoe UI Light"/>
          <w:sz w:val="21"/>
        </w:rPr>
        <w:t>“What should continue, and what would make recognition more useful?”</w:t>
      </w:r>
    </w:p>
    <w:p>
      <w:pPr>
        <w:spacing w:after="120"/>
      </w:pPr>
      <w:r>
        <w:rPr>
          <w:rFonts w:ascii="Segoe UI Light" w:hAnsi="Segoe UI Light"/>
          <w:b/>
          <w:sz w:val="21"/>
        </w:rPr>
        <w:t>Decision use:</w:t>
      </w:r>
      <w:r>
        <w:rPr>
          <w:rFonts w:ascii="Segoe UI Light" w:hAnsi="Segoe UI Light"/>
          <w:sz w:val="21"/>
        </w:rPr>
        <w:t xml:space="preserve"> Separate everyday feedback needs from concerns about pay or access to opportunities. Managers may address feedback locally; broader fairness concerns may require senior decisions. Praise should not substitute for addressing harmful demands.</w:t>
      </w:r>
    </w:p>
    <w:p>
      <w:pPr>
        <w:pStyle w:val="Heading3"/>
      </w:pPr>
      <w:r>
        <w:rPr>
          <w:rFonts w:ascii="Segoe UI Light" w:hAnsi="Segoe UI Light"/>
          <w:b/>
          <w:color w:val="2D5A8E"/>
          <w:sz w:val="21"/>
        </w:rPr>
        <w:t>5. Emotional Demand</w:t>
      </w:r>
    </w:p>
    <w:p>
      <w:pPr>
        <w:spacing w:after="120"/>
      </w:pPr>
      <w:r>
        <w:rPr>
          <w:rFonts w:ascii="Segoe UI Light" w:hAnsi="Segoe UI Light"/>
          <w:sz w:val="21"/>
        </w:rPr>
        <w:t>Responding to others’ distress and managing emotions shown as part of a role.</w:t>
      </w:r>
    </w:p>
    <w:p>
      <w:pPr>
        <w:pStyle w:val="ListBullet"/>
        <w:spacing w:after="60"/>
      </w:pPr>
      <w:r>
        <w:rPr>
          <w:rFonts w:ascii="Segoe UI Light" w:hAnsi="Segoe UI Light"/>
          <w:sz w:val="21"/>
        </w:rPr>
        <w:t>“What situations, if any, require substantial emotional effort?”</w:t>
      </w:r>
    </w:p>
    <w:p>
      <w:pPr>
        <w:pStyle w:val="ListBullet"/>
        <w:spacing w:after="60"/>
      </w:pPr>
      <w:r>
        <w:rPr>
          <w:rFonts w:ascii="Segoe UI Light" w:hAnsi="Segoe UI Light"/>
          <w:sz w:val="21"/>
        </w:rPr>
        <w:t>“What preparation, backup or recovery opportunities are available? How usable are they?”</w:t>
      </w:r>
    </w:p>
    <w:p>
      <w:pPr>
        <w:pStyle w:val="ListBullet"/>
        <w:spacing w:after="60"/>
      </w:pPr>
      <w:r>
        <w:rPr>
          <w:rFonts w:ascii="Segoe UI Light" w:hAnsi="Segoe UI Light"/>
          <w:sz w:val="21"/>
        </w:rPr>
        <w:t>“What changes might help, and who else could be affected?”</w:t>
      </w:r>
    </w:p>
    <w:p>
      <w:pPr>
        <w:spacing w:after="120"/>
      </w:pPr>
      <w:r>
        <w:rPr>
          <w:rFonts w:ascii="Segoe UI Light" w:hAnsi="Segoe UI Light"/>
          <w:b/>
          <w:sz w:val="21"/>
        </w:rPr>
        <w:t>Decision use:</w:t>
      </w:r>
      <w:r>
        <w:rPr>
          <w:rFonts w:ascii="Segoe UI Light" w:hAnsi="Segoe UI Light"/>
          <w:sz w:val="21"/>
        </w:rPr>
        <w:t xml:space="preserve"> Establish the frequency and intensity of demands before choosing practical support or recovery arrangements. Check whether redistributing work would spread exposure or remove experienced backup.</w:t>
      </w:r>
    </w:p>
    <w:p>
      <w:pPr>
        <w:pStyle w:val="Heading2"/>
      </w:pPr>
      <w:r>
        <w:rPr>
          <w:rFonts w:ascii="Segoe UI Light" w:hAnsi="Segoe UI Light"/>
          <w:b/>
          <w:color w:val="2D5A8E"/>
          <w:sz w:val="22"/>
        </w:rPr>
        <w:t>Agree next steps – 20 minutes</w:t>
      </w:r>
    </w:p>
    <w:p>
      <w:pPr>
        <w:spacing w:after="120"/>
      </w:pPr>
      <w:r>
        <w:rPr>
          <w:rFonts w:ascii="Segoe UI Light" w:hAnsi="Segoe UI Light"/>
          <w:sz w:val="21"/>
        </w:rPr>
        <w:t>Ask:</w:t>
      </w:r>
    </w:p>
    <w:p>
      <w:pPr>
        <w:pStyle w:val="Quote"/>
      </w:pPr>
      <w:r>
        <w:rPr>
          <w:rFonts w:ascii="Segoe UI Light" w:hAnsi="Segoe UI Light"/>
          <w:sz w:val="21"/>
        </w:rPr>
        <w:t>“What needs attention first? What should be protected? What have we missed or misunderstood?”</w:t>
      </w:r>
    </w:p>
    <w:p>
      <w:pPr>
        <w:spacing w:after="120"/>
      </w:pPr>
      <w:r>
        <w:rPr>
          <w:rFonts w:ascii="Segoe UI Light" w:hAnsi="Segoe UI Light"/>
          <w:sz w:val="21"/>
        </w:rPr>
        <w:t>For each proposed action, record:</w:t>
      </w:r>
    </w:p>
    <w:p>
      <w:pPr>
        <w:pStyle w:val="ListBullet"/>
        <w:spacing w:after="60"/>
      </w:pPr>
      <w:r>
        <w:rPr>
          <w:rFonts w:ascii="Segoe UI Light" w:hAnsi="Segoe UI Light"/>
          <w:sz w:val="21"/>
        </w:rPr>
        <w:t>the working condition, differing experiences and evidence still needed;</w:t>
      </w:r>
    </w:p>
    <w:p>
      <w:pPr>
        <w:pStyle w:val="ListBullet"/>
        <w:spacing w:after="60"/>
      </w:pPr>
      <w:r>
        <w:rPr>
          <w:rFonts w:ascii="Segoe UI Light" w:hAnsi="Segoe UI Light"/>
          <w:sz w:val="21"/>
        </w:rPr>
        <w:t>any prompt protection and longer-term change;</w:t>
      </w:r>
    </w:p>
    <w:p>
      <w:pPr>
        <w:pStyle w:val="ListBullet"/>
        <w:spacing w:after="60"/>
      </w:pPr>
      <w:r>
        <w:rPr>
          <w:rFonts w:ascii="Segoe UI Light" w:hAnsi="Segoe UI Light"/>
          <w:sz w:val="21"/>
        </w:rPr>
        <w:t>existing work underway, required authority and resources;</w:t>
      </w:r>
    </w:p>
    <w:p>
      <w:pPr>
        <w:pStyle w:val="ListBullet"/>
        <w:spacing w:after="60"/>
      </w:pPr>
      <w:r>
        <w:rPr>
          <w:rFonts w:ascii="Segoe UI Light" w:hAnsi="Segoe UI Light"/>
          <w:sz w:val="21"/>
        </w:rPr>
        <w:t>possible displaced workload or lost support;</w:t>
      </w:r>
    </w:p>
    <w:p>
      <w:pPr>
        <w:pStyle w:val="ListBullet"/>
        <w:spacing w:after="60"/>
      </w:pPr>
      <w:r>
        <w:rPr>
          <w:rFonts w:ascii="Segoe UI Light" w:hAnsi="Segoe UI Light"/>
          <w:sz w:val="21"/>
        </w:rPr>
        <w:t>an owner, decision date and review measure.</w:t>
      </w:r>
    </w:p>
    <w:p>
      <w:pPr>
        <w:spacing w:after="120"/>
      </w:pPr>
      <w:r>
        <w:rPr>
          <w:rFonts w:ascii="Segoe UI Light" w:hAnsi="Segoe UI Light"/>
          <w:sz w:val="21"/>
        </w:rPr>
        <w:t>Read back the themes for correction. Confirm when workers will hear what was accepted, deferred or escalated, and why. Establish a local baseline for follow-up rather than using model percentages. Review implementation and workers’ experience, without assuming later differences prove the change caused them.</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Light" w:hAnsi="Segoe UI Light"/>
        <w:color w:val="94A3B8"/>
        <w:sz w:val="16"/>
      </w:rPr>
      <w:t xml:space="preserve">Test Org  ·  </w:t>
    </w:r>
    <w:r>
      <w:rPr>
        <w:rFonts w:ascii="Segoe UI Light" w:hAnsi="Segoe UI Light"/>
        <w:color w:val="94A3B8"/>
        <w:sz w:val="16"/>
      </w:rPr>
      <w:t xml:space="preserve">Page </w:t>
    </w:r>
    <w:r>
      <w:rPr>
        <w:rFonts w:ascii="Segoe UI Light" w:hAnsi="Segoe UI Light"/>
        <w:color w:val="94A3B8"/>
        <w:sz w:val="16"/>
      </w:rPr>
      <w:fldChar w:fldCharType="begin"/>
    </w:r>
    <w:r>
      <w:rPr>
        <w:rFonts w:ascii="Segoe UI Light" w:hAnsi="Segoe UI Light"/>
        <w:color w:val="94A3B8"/>
        <w:sz w:val="16"/>
      </w:rPr>
      <w:instrText xml:space="preserve"> PAGE </w:instrText>
    </w:r>
    <w:r>
      <w:rPr>
        <w:rFonts w:ascii="Segoe UI Light" w:hAnsi="Segoe UI Light"/>
        <w:color w:val="94A3B8"/>
        <w:sz w:val="16"/>
      </w:rPr>
      <w:fldChar w:fldCharType="end"/>
    </w:r>
    <w:r>
      <w:rPr>
        <w:rFonts w:ascii="Segoe UI Light" w:hAnsi="Segoe UI Light"/>
        <w:color w:val="94A3B8"/>
        <w:sz w:val="16"/>
      </w:rPr>
      <w:t xml:space="preserve">  ·  Prior Work  ·  priorwork.au  ·  © 2026 Prior Work. Released under CC BY-NC-SA 4.0.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pPr>
    <w:rPr>
      <w:rFonts w:ascii="Segoe UI Light" w:hAnsi="Segoe UI Light"/>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Segoe UI Light" w:hAnsi="Segoe UI Light"/>
      <w:b/>
      <w:bCs/>
      <w:color w:val="1E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Segoe UI Light" w:hAnsi="Segoe UI Light"/>
      <w:b/>
      <w:bCs/>
      <w:color w:val="2D5A8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20"/>
      <w:ind w:left="340" w:right="227"/>
    </w:pPr>
    <w:rPr>
      <w:rFonts w:ascii="Segoe UI Light" w:hAnsi="Segoe UI Light"/>
      <w:i w:val="0"/>
      <w:iCs/>
      <w:color w:val="1F2937"/>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