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0"/>
      </w:pPr>
    </w:p>
    <w:p>
      <w:pPr>
        <w:jc w:val="center"/>
      </w:pPr>
      <w:r>
        <w:rPr>
          <w:rFonts w:ascii="Segoe UI Light" w:hAnsi="Segoe UI Light"/>
          <w:b/>
          <w:color w:val="1E3A5F"/>
          <w:sz w:val="48"/>
        </w:rPr>
        <w:t>Psychosocial Risk Management Report</w:t>
      </w:r>
    </w:p>
    <w:p>
      <w:pPr>
        <w:spacing w:before="120"/>
        <w:jc w:val="center"/>
      </w:pPr>
      <w:r>
        <w:rPr>
          <w:rFonts w:ascii="Segoe UI Light" w:hAnsi="Segoe UI Light"/>
          <w:color w:val="2D5A8E"/>
          <w:sz w:val="32"/>
        </w:rPr>
        <w:t>Test Org</w:t>
      </w:r>
    </w:p>
    <w:p>
      <w:pPr>
        <w:spacing w:before="120" w:after="120"/>
        <w:pBdr>
          <w:bottom w:val="single" w:sz="4" w:space="1" w:color="E2E8F0"/>
        </w:pBdr>
      </w:pPr>
    </w:p>
    <w:p>
      <w:pPr>
        <w:spacing w:after="60"/>
        <w:jc w:val="center"/>
      </w:pPr>
      <w:r>
        <w:rPr>
          <w:rFonts w:ascii="Segoe UI Light" w:hAnsi="Segoe UI Light"/>
          <w:b/>
          <w:color w:val="64748B"/>
          <w:sz w:val="20"/>
        </w:rPr>
        <w:t xml:space="preserve">Outcome measures: </w:t>
      </w:r>
      <w:r>
        <w:rPr>
          <w:rFonts w:ascii="Segoe UI Light" w:hAnsi="Segoe UI Light"/>
          <w:color w:val="64748B"/>
          <w:sz w:val="20"/>
        </w:rPr>
        <w:t>Work Engagement  ·  Burnout  ·  Psych Distress</w:t>
      </w:r>
    </w:p>
    <w:p>
      <w:pPr>
        <w:spacing w:after="60"/>
        <w:jc w:val="center"/>
      </w:pPr>
      <w:r>
        <w:rPr>
          <w:rFonts w:ascii="Segoe UI Light" w:hAnsi="Segoe UI Light"/>
          <w:b/>
          <w:color w:val="64748B"/>
          <w:sz w:val="20"/>
        </w:rPr>
        <w:t xml:space="preserve">Organisation size: </w:t>
      </w:r>
      <w:r>
        <w:rPr>
          <w:rFonts w:ascii="Segoe UI Light" w:hAnsi="Segoe UI Light"/>
          <w:color w:val="64748B"/>
          <w:sz w:val="20"/>
        </w:rPr>
        <w:t>1,200</w:t>
      </w:r>
    </w:p>
    <w:p>
      <w:pPr>
        <w:spacing w:after="60"/>
        <w:jc w:val="center"/>
      </w:pPr>
      <w:r>
        <w:rPr>
          <w:rFonts w:ascii="Segoe UI Light" w:hAnsi="Segoe UI Light"/>
          <w:b/>
          <w:color w:val="64748B"/>
          <w:sz w:val="20"/>
        </w:rPr>
        <w:t xml:space="preserve">Date: </w:t>
      </w:r>
      <w:r>
        <w:rPr>
          <w:rFonts w:ascii="Segoe UI Light" w:hAnsi="Segoe UI Light"/>
          <w:color w:val="64748B"/>
          <w:sz w:val="20"/>
        </w:rPr>
        <w:t>25/09/2026</w:t>
      </w:r>
    </w:p>
    <w:p>
      <w:pPr>
        <w:spacing w:after="60"/>
        <w:jc w:val="center"/>
      </w:pPr>
      <w:r>
        <w:rPr>
          <w:rFonts w:ascii="Segoe UI Light" w:hAnsi="Segoe UI Light"/>
          <w:b/>
          <w:color w:val="64748B"/>
          <w:sz w:val="20"/>
        </w:rPr>
        <w:t xml:space="preserve">Prepared by: </w:t>
      </w:r>
      <w:r>
        <w:rPr>
          <w:rFonts w:ascii="Segoe UI Light" w:hAnsi="Segoe UI Light"/>
          <w:color w:val="64748B"/>
          <w:sz w:val="20"/>
        </w:rPr>
        <w:t>Pat Egan</w:t>
      </w:r>
    </w:p>
    <w:p>
      <w:pPr>
        <w:spacing w:before="120" w:after="120"/>
        <w:pBdr>
          <w:bottom w:val="single" w:sz="4" w:space="1" w:color="E2E8F0"/>
        </w:pBdr>
      </w:pPr>
    </w:p>
    <w:p>
      <w:pPr>
        <w:jc w:val="center"/>
      </w:pPr>
      <w:r>
        <w:rPr>
          <w:rFonts w:ascii="Segoe UI Light" w:hAnsi="Segoe UI Light"/>
          <w:i/>
          <w:color w:val="94A3B8"/>
          <w:sz w:val="16"/>
        </w:rPr>
        <w:t>Generated with Prior Work  ·  priorwork.au  ·  © 2026 Prior Work. Released under CC BY-NC-SA 4.0.</w:t>
      </w:r>
    </w:p>
    <w:p>
      <w:r>
        <w:br w:type="page"/>
      </w:r>
    </w:p>
    <w:p>
      <w:pPr>
        <w:spacing w:after="200"/>
      </w:pPr>
      <w:r>
        <w:rPr>
          <w:rFonts w:ascii="Segoe UI Light" w:hAnsi="Segoe UI Light"/>
          <w:b/>
          <w:color w:val="1E3A5F"/>
          <w:sz w:val="28"/>
        </w:rPr>
        <w:t>Contents</w:t>
      </w:r>
    </w:p>
    <w:p>
      <w:pPr>
        <w:spacing w:after="40"/>
      </w:pPr>
      <w:r>
        <w:fldChar w:fldCharType="begin"/>
        <w:instrText xml:space="preserve"> TOC \o "1-2" \h \z \u </w:instrText>
        <w:fldChar w:fldCharType="separate"/>
      </w:r>
    </w:p>
    <w:p>
      <w:pPr>
        <w:spacing w:after="40"/>
      </w:pPr>
      <w:hyperlink w:anchor="_PWToc0">
        <w:r>
          <w:rPr>
            <w:rFonts w:ascii="Segoe UI Light" w:hAnsi="Segoe UI Light"/>
            <w:b/>
            <w:color w:val="1E3A5F"/>
            <w:sz w:val="21"/>
          </w:rPr>
          <w:t>Executive Summary</w:t>
        </w:r>
      </w:hyperlink>
    </w:p>
    <w:p>
      <w:pPr>
        <w:spacing w:after="40"/>
      </w:pPr>
      <w:hyperlink w:anchor="_PWToc1">
        <w:r>
          <w:rPr>
            <w:rFonts w:ascii="Segoe UI Light" w:hAnsi="Segoe UI Light"/>
            <w:b/>
            <w:color w:val="1E3A5F"/>
            <w:sz w:val="21"/>
          </w:rPr>
          <w:t>Context and Approach</w:t>
        </w:r>
      </w:hyperlink>
    </w:p>
    <w:p>
      <w:pPr>
        <w:spacing w:after="40"/>
        <w:ind w:left="340"/>
      </w:pPr>
      <w:hyperlink w:anchor="_PWToc2">
        <w:r>
          <w:rPr>
            <w:rFonts w:ascii="Segoe UI Light" w:hAnsi="Segoe UI Light"/>
            <w:b w:val="0"/>
            <w:color w:val="64748B"/>
            <w:sz w:val="19"/>
          </w:rPr>
          <w:t>Evidence and interpretation</w:t>
        </w:r>
      </w:hyperlink>
    </w:p>
    <w:p>
      <w:pPr>
        <w:spacing w:after="40"/>
      </w:pPr>
      <w:hyperlink w:anchor="_PWToc3">
        <w:r>
          <w:rPr>
            <w:rFonts w:ascii="Segoe UI Light" w:hAnsi="Segoe UI Light"/>
            <w:b/>
            <w:color w:val="1E3A5F"/>
            <w:sz w:val="21"/>
          </w:rPr>
          <w:t>Findings and What They Mean</w:t>
        </w:r>
      </w:hyperlink>
    </w:p>
    <w:p>
      <w:pPr>
        <w:spacing w:after="40"/>
        <w:ind w:left="340"/>
      </w:pPr>
      <w:hyperlink w:anchor="_PWToc4">
        <w:r>
          <w:rPr>
            <w:rFonts w:ascii="Segoe UI Light" w:hAnsi="Segoe UI Light"/>
            <w:b w:val="0"/>
            <w:color w:val="64748B"/>
            <w:sz w:val="19"/>
          </w:rPr>
          <w:t>The starting position</w:t>
        </w:r>
      </w:hyperlink>
    </w:p>
    <w:p>
      <w:pPr>
        <w:spacing w:after="40"/>
        <w:ind w:left="340"/>
      </w:pPr>
      <w:hyperlink w:anchor="_PWToc5">
        <w:r>
          <w:rPr>
            <w:rFonts w:ascii="Segoe UI Light" w:hAnsi="Segoe UI Light"/>
            <w:b w:val="0"/>
            <w:color w:val="64748B"/>
            <w:sz w:val="19"/>
          </w:rPr>
          <w:t>Reduce excessive workload while preserving useful work</w:t>
        </w:r>
      </w:hyperlink>
    </w:p>
    <w:p>
      <w:pPr>
        <w:spacing w:after="40"/>
        <w:ind w:left="340"/>
      </w:pPr>
      <w:hyperlink w:anchor="_PWToc6">
        <w:r>
          <w:rPr>
            <w:rFonts w:ascii="Segoe UI Light" w:hAnsi="Segoe UI Light"/>
            <w:b w:val="0"/>
            <w:color w:val="64748B"/>
            <w:sz w:val="19"/>
          </w:rPr>
          <w:t>Reduce interference with life outside work</w:t>
        </w:r>
      </w:hyperlink>
    </w:p>
    <w:p>
      <w:pPr>
        <w:spacing w:after="40"/>
        <w:ind w:left="340"/>
      </w:pPr>
      <w:hyperlink w:anchor="_PWToc7">
        <w:r>
          <w:rPr>
            <w:rFonts w:ascii="Segoe UI Light" w:hAnsi="Segoe UI Light"/>
            <w:b w:val="0"/>
            <w:color w:val="64748B"/>
            <w:sz w:val="19"/>
          </w:rPr>
          <w:t>Strengthen purpose and acknowledge contribution</w:t>
        </w:r>
      </w:hyperlink>
    </w:p>
    <w:p>
      <w:pPr>
        <w:spacing w:after="40"/>
        <w:ind w:left="340"/>
      </w:pPr>
      <w:hyperlink w:anchor="_PWToc8">
        <w:r>
          <w:rPr>
            <w:rFonts w:ascii="Segoe UI Light" w:hAnsi="Segoe UI Light"/>
            <w:b w:val="0"/>
            <w:color w:val="64748B"/>
            <w:sz w:val="19"/>
          </w:rPr>
          <w:t>Address emotionally demanding work where it occurs</w:t>
        </w:r>
      </w:hyperlink>
    </w:p>
    <w:p>
      <w:pPr>
        <w:spacing w:after="40"/>
        <w:ind w:left="340"/>
      </w:pPr>
      <w:hyperlink w:anchor="_PWToc9">
        <w:r>
          <w:rPr>
            <w:rFonts w:ascii="Segoe UI Light" w:hAnsi="Segoe UI Light"/>
            <w:b w:val="0"/>
            <w:color w:val="64748B"/>
            <w:sz w:val="19"/>
          </w:rPr>
          <w:t>Combined approaches involve a choice of emphasis</w:t>
        </w:r>
      </w:hyperlink>
    </w:p>
    <w:p>
      <w:pPr>
        <w:spacing w:after="40"/>
      </w:pPr>
      <w:hyperlink w:anchor="_PWToc10">
        <w:r>
          <w:rPr>
            <w:rFonts w:ascii="Segoe UI Light" w:hAnsi="Segoe UI Light"/>
            <w:b/>
            <w:color w:val="1E3A5F"/>
            <w:sz w:val="21"/>
          </w:rPr>
          <w:t>Recommended Next Steps</w:t>
        </w:r>
      </w:hyperlink>
    </w:p>
    <w:p>
      <w:pPr>
        <w:spacing w:after="40"/>
        <w:ind w:left="340"/>
      </w:pPr>
      <w:hyperlink w:anchor="_PWToc11">
        <w:r>
          <w:rPr>
            <w:rFonts w:ascii="Segoe UI Light" w:hAnsi="Segoe UI Light"/>
            <w:b w:val="0"/>
            <w:color w:val="64748B"/>
            <w:sz w:val="19"/>
          </w:rPr>
          <w:t>1. Establish local priorities and decision authority</w:t>
        </w:r>
      </w:hyperlink>
    </w:p>
    <w:p>
      <w:pPr>
        <w:spacing w:after="40"/>
        <w:ind w:left="340"/>
      </w:pPr>
      <w:hyperlink w:anchor="_PWToc12">
        <w:r>
          <w:rPr>
            <w:rFonts w:ascii="Segoe UI Light" w:hAnsi="Segoe UI Light"/>
            <w:b w:val="0"/>
            <w:color w:val="64748B"/>
            <w:sz w:val="19"/>
          </w:rPr>
          <w:t>2. Protect workers promptly where harm is established</w:t>
        </w:r>
      </w:hyperlink>
    </w:p>
    <w:p>
      <w:pPr>
        <w:spacing w:after="40"/>
        <w:ind w:left="340"/>
      </w:pPr>
      <w:hyperlink w:anchor="_PWToc13">
        <w:r>
          <w:rPr>
            <w:rFonts w:ascii="Segoe UI Light" w:hAnsi="Segoe UI Light"/>
            <w:b w:val="0"/>
            <w:color w:val="64748B"/>
            <w:sz w:val="19"/>
          </w:rPr>
          <w:t>3. Build longer-term improvements around workers’ experience</w:t>
        </w:r>
      </w:hyperlink>
    </w:p>
    <w:p>
      <w:pPr>
        <w:spacing w:after="40"/>
        <w:ind w:left="340"/>
      </w:pPr>
      <w:hyperlink w:anchor="_PWToc14">
        <w:r>
          <w:rPr>
            <w:rFonts w:ascii="Segoe UI Light" w:hAnsi="Segoe UI Light"/>
            <w:b w:val="0"/>
            <w:color w:val="64748B"/>
            <w:sz w:val="19"/>
          </w:rPr>
          <w:t>4. Record the baseline, test changes and review progress</w:t>
        </w:r>
      </w:hyperlink>
    </w:p>
    <w:p>
      <w:pPr>
        <w:spacing w:after="40"/>
      </w:pPr>
      <w:hyperlink w:anchor="_PWToc15">
        <w:r>
          <w:rPr>
            <w:rFonts w:ascii="Segoe UI Light" w:hAnsi="Segoe UI Light"/>
            <w:b/>
            <w:color w:val="1E3A5F"/>
            <w:sz w:val="21"/>
          </w:rPr>
          <w:t>Appendix – Supporting Material</w:t>
        </w:r>
      </w:hyperlink>
    </w:p>
    <w:p>
      <w:pPr>
        <w:spacing w:after="40"/>
        <w:ind w:left="340"/>
      </w:pPr>
      <w:hyperlink w:anchor="_PWToc16">
        <w:r>
          <w:rPr>
            <w:rFonts w:ascii="Segoe UI Light" w:hAnsi="Segoe UI Light"/>
            <w:b w:val="0"/>
            <w:color w:val="64748B"/>
            <w:sz w:val="19"/>
          </w:rPr>
          <w:t>A1 – How the Factors Connect</w:t>
        </w:r>
      </w:hyperlink>
    </w:p>
    <w:p>
      <w:pPr>
        <w:spacing w:after="40"/>
        <w:ind w:left="340"/>
      </w:pPr>
      <w:hyperlink w:anchor="_PWToc17">
        <w:r>
          <w:rPr>
            <w:rFonts w:ascii="Segoe UI Light" w:hAnsi="Segoe UI Light"/>
            <w:b w:val="0"/>
            <w:color w:val="64748B"/>
            <w:sz w:val="19"/>
          </w:rPr>
          <w:t>A2 – Starting Model Estimates</w:t>
        </w:r>
      </w:hyperlink>
    </w:p>
    <w:p>
      <w:pPr>
        <w:spacing w:after="40"/>
        <w:ind w:left="340"/>
      </w:pPr>
      <w:hyperlink w:anchor="_PWToc18">
        <w:r>
          <w:rPr>
            <w:rFonts w:ascii="Segoe UI Light" w:hAnsi="Segoe UI Light"/>
            <w:b w:val="0"/>
            <w:color w:val="64748B"/>
            <w:sz w:val="19"/>
          </w:rPr>
          <w:t>A3 – Simple Scenarios: One Factor at a Time</w:t>
        </w:r>
      </w:hyperlink>
    </w:p>
    <w:p>
      <w:pPr>
        <w:spacing w:after="40"/>
        <w:ind w:left="340"/>
      </w:pPr>
      <w:hyperlink w:anchor="_PWToc19">
        <w:r>
          <w:rPr>
            <w:rFonts w:ascii="Segoe UI Light" w:hAnsi="Segoe UI Light"/>
            <w:b w:val="0"/>
            <w:color w:val="64748B"/>
            <w:sz w:val="19"/>
          </w:rPr>
          <w:t>A4 – Combined Scenarios: Factors Moved Together</w:t>
        </w:r>
      </w:hyperlink>
    </w:p>
    <w:p>
      <w:pPr>
        <w:spacing w:after="40"/>
        <w:ind w:left="340"/>
      </w:pPr>
      <w:hyperlink w:anchor="_PWToc20">
        <w:r>
          <w:rPr>
            <w:rFonts w:ascii="Segoe UI Light" w:hAnsi="Segoe UI Light"/>
            <w:b w:val="0"/>
            <w:color w:val="64748B"/>
            <w:sz w:val="19"/>
          </w:rPr>
          <w:t>A5 – Methodology and How to Read These Tables</w:t>
        </w:r>
      </w:hyperlink>
    </w:p>
    <w:p>
      <w:pPr>
        <w:spacing w:after="0"/>
      </w:pPr>
      <w:r>
        <w:fldChar w:fldCharType="end"/>
      </w:r>
    </w:p>
    <w:p>
      <w:pPr>
        <w:spacing w:before="160"/>
      </w:pPr>
      <w:r>
        <w:rPr>
          <w:rFonts w:ascii="Segoe UI Light" w:hAnsi="Segoe UI Light"/>
          <w:i/>
          <w:color w:val="94A3B8"/>
          <w:sz w:val="17"/>
        </w:rPr>
        <w:t>Entries are clickable. For page numbers, right-click the list and choose Update Field.</w:t>
      </w:r>
    </w:p>
    <w:p>
      <w:r>
        <w:br w:type="page"/>
      </w:r>
    </w:p>
    <w:p>
      <w:bookmarkStart w:id="0" w:name="_PWToc0"/>
      <w:pPr>
        <w:pStyle w:val="Heading1"/>
      </w:pPr>
      <w:r>
        <w:rPr>
          <w:rFonts w:ascii="Segoe UI Light" w:hAnsi="Segoe UI Light"/>
          <w:b/>
          <w:color w:val="1E3A5F"/>
          <w:sz w:val="28"/>
        </w:rPr>
        <w:t>Executive Summary</w:t>
      </w:r>
      <w:bookmarkEnd w:id="0"/>
    </w:p>
    <w:p>
      <w:pPr>
        <w:spacing w:after="120"/>
      </w:pPr>
      <w:r>
        <w:rPr>
          <w:rFonts w:ascii="Segoe UI Light" w:hAnsi="Segoe UI Light"/>
          <w:sz w:val="21"/>
        </w:rPr>
        <w:t>Test Org’s senior leaders should use this report to prioritise a local assessment and practical improvements to working conditions across its 1,200-worker workforce.</w:t>
      </w:r>
    </w:p>
    <w:p>
      <w:pPr>
        <w:spacing w:after="120"/>
      </w:pPr>
      <w:r>
        <w:rPr>
          <w:rFonts w:ascii="Segoe UI Light" w:hAnsi="Segoe UI Light"/>
          <w:sz w:val="21"/>
        </w:rPr>
        <w:t>The supplied General Australian Workforce model has no recorded source or fitting coverage establishing local measurement. Prediction checking and uncertainty ranges are unavailable. Its scenarios assume everyone experiences the specified conditions; they are not forecasts of control effectiveness.</w:t>
      </w:r>
    </w:p>
    <w:p>
      <w:pPr>
        <w:spacing w:after="120"/>
      </w:pPr>
      <w:r>
        <w:rPr>
          <w:rFonts w:ascii="Segoe UI Light" w:hAnsi="Segoe UI Light"/>
          <w:sz w:val="21"/>
        </w:rPr>
        <w:t>The main findings are:</w:t>
      </w:r>
    </w:p>
    <w:p>
      <w:pPr>
        <w:pStyle w:val="ListBullet"/>
        <w:spacing w:after="60"/>
      </w:pPr>
      <w:r>
        <w:rPr>
          <w:rFonts w:ascii="Segoe UI Light" w:hAnsi="Segoe UI Light"/>
          <w:sz w:val="21"/>
        </w:rPr>
        <w:t xml:space="preserve">Low </w:t>
      </w:r>
      <w:r>
        <w:rPr>
          <w:rFonts w:ascii="Segoe UI Light" w:hAnsi="Segoe UI Light"/>
          <w:b/>
          <w:sz w:val="21"/>
        </w:rPr>
        <w:t>Role Overload</w:t>
      </w:r>
      <w:r>
        <w:rPr>
          <w:rFonts w:ascii="Segoe UI Light" w:hAnsi="Segoe UI Light"/>
          <w:sz w:val="21"/>
        </w:rPr>
        <w:t xml:space="preserve"> reduces modelled high </w:t>
      </w:r>
      <w:r>
        <w:rPr>
          <w:rFonts w:ascii="Segoe UI Light" w:hAnsi="Segoe UI Light"/>
          <w:b/>
          <w:sz w:val="21"/>
        </w:rPr>
        <w:t>Burnout</w:t>
      </w:r>
      <w:r>
        <w:rPr>
          <w:rFonts w:ascii="Segoe UI Light" w:hAnsi="Segoe UI Light"/>
          <w:sz w:val="21"/>
        </w:rPr>
        <w:t xml:space="preserve"> by about 15 percentage points and high </w:t>
      </w:r>
      <w:r>
        <w:rPr>
          <w:rFonts w:ascii="Segoe UI Light" w:hAnsi="Segoe UI Light"/>
          <w:b/>
          <w:sz w:val="21"/>
        </w:rPr>
        <w:t>Psych Distress</w:t>
      </w:r>
      <w:r>
        <w:rPr>
          <w:rFonts w:ascii="Segoe UI Light" w:hAnsi="Segoe UI Light"/>
          <w:sz w:val="21"/>
        </w:rPr>
        <w:t xml:space="preserve"> by about 7 points. However, high </w:t>
      </w:r>
      <w:r>
        <w:rPr>
          <w:rFonts w:ascii="Segoe UI Light" w:hAnsi="Segoe UI Light"/>
          <w:b/>
          <w:sz w:val="21"/>
        </w:rPr>
        <w:t>Work Engagement</w:t>
      </w:r>
      <w:r>
        <w:rPr>
          <w:rFonts w:ascii="Segoe UI Light" w:hAnsi="Segoe UI Light"/>
          <w:sz w:val="21"/>
        </w:rPr>
        <w:t xml:space="preserve"> falls slightly.</w:t>
      </w:r>
    </w:p>
    <w:p>
      <w:pPr>
        <w:pStyle w:val="ListBullet"/>
        <w:spacing w:after="60"/>
      </w:pPr>
      <w:r>
        <w:rPr>
          <w:rFonts w:ascii="Segoe UI Light" w:hAnsi="Segoe UI Light"/>
          <w:sz w:val="21"/>
        </w:rPr>
        <w:t xml:space="preserve">Low </w:t>
      </w:r>
      <w:r>
        <w:rPr>
          <w:rFonts w:ascii="Segoe UI Light" w:hAnsi="Segoe UI Light"/>
          <w:b/>
          <w:sz w:val="21"/>
        </w:rPr>
        <w:t>Work Life Conflict</w:t>
      </w:r>
      <w:r>
        <w:rPr>
          <w:rFonts w:ascii="Segoe UI Light" w:hAnsi="Segoe UI Light"/>
          <w:sz w:val="21"/>
        </w:rPr>
        <w:t xml:space="preserve"> reduces both adverse outcomes and increases high </w:t>
      </w:r>
      <w:r>
        <w:rPr>
          <w:rFonts w:ascii="Segoe UI Light" w:hAnsi="Segoe UI Light"/>
          <w:b/>
          <w:sz w:val="21"/>
        </w:rPr>
        <w:t>Work Engagement</w:t>
      </w:r>
      <w:r>
        <w:rPr>
          <w:rFonts w:ascii="Segoe UI Light" w:hAnsi="Segoe UI Light"/>
          <w:sz w:val="21"/>
        </w:rPr>
        <w:t>, supporting attention to work spilling into personal life.</w:t>
      </w:r>
    </w:p>
    <w:p>
      <w:pPr>
        <w:pStyle w:val="ListBullet"/>
        <w:spacing w:after="60"/>
      </w:pPr>
      <w:r>
        <w:rPr>
          <w:rFonts w:ascii="Segoe UI Light" w:hAnsi="Segoe UI Light"/>
          <w:sz w:val="21"/>
        </w:rPr>
        <w:t xml:space="preserve">High </w:t>
      </w:r>
      <w:r>
        <w:rPr>
          <w:rFonts w:ascii="Segoe UI Light" w:hAnsi="Segoe UI Light"/>
          <w:b/>
          <w:sz w:val="21"/>
        </w:rPr>
        <w:t>Meaningful Work</w:t>
      </w:r>
      <w:r>
        <w:rPr>
          <w:rFonts w:ascii="Segoe UI Light" w:hAnsi="Segoe UI Light"/>
          <w:sz w:val="21"/>
        </w:rPr>
        <w:t xml:space="preserve"> and high </w:t>
      </w:r>
      <w:r>
        <w:rPr>
          <w:rFonts w:ascii="Segoe UI Light" w:hAnsi="Segoe UI Light"/>
          <w:b/>
          <w:sz w:val="21"/>
        </w:rPr>
        <w:t>Recognition</w:t>
      </w:r>
      <w:r>
        <w:rPr>
          <w:rFonts w:ascii="Segoe UI Light" w:hAnsi="Segoe UI Light"/>
          <w:sz w:val="21"/>
        </w:rPr>
        <w:t xml:space="preserve"> increase high </w:t>
      </w:r>
      <w:r>
        <w:rPr>
          <w:rFonts w:ascii="Segoe UI Light" w:hAnsi="Segoe UI Light"/>
          <w:b/>
          <w:sz w:val="21"/>
        </w:rPr>
        <w:t>Work Engagement</w:t>
      </w:r>
      <w:r>
        <w:rPr>
          <w:rFonts w:ascii="Segoe UI Light" w:hAnsi="Segoe UI Light"/>
          <w:sz w:val="21"/>
        </w:rPr>
        <w:t xml:space="preserve"> by about 12 and 11 points respectively, with smaller reductions in adverse outcomes.</w:t>
      </w:r>
    </w:p>
    <w:p>
      <w:pPr>
        <w:pStyle w:val="ListBullet"/>
        <w:spacing w:after="60"/>
      </w:pPr>
      <w:r>
        <w:rPr>
          <w:rFonts w:ascii="Segoe UI Light" w:hAnsi="Segoe UI Light"/>
          <w:sz w:val="21"/>
        </w:rPr>
        <w:t xml:space="preserve">Low </w:t>
      </w:r>
      <w:r>
        <w:rPr>
          <w:rFonts w:ascii="Segoe UI Light" w:hAnsi="Segoe UI Light"/>
          <w:b/>
          <w:sz w:val="21"/>
        </w:rPr>
        <w:t>Emotional Demand</w:t>
      </w:r>
      <w:r>
        <w:rPr>
          <w:rFonts w:ascii="Segoe UI Light" w:hAnsi="Segoe UI Light"/>
          <w:sz w:val="21"/>
        </w:rPr>
        <w:t xml:space="preserve"> reduces high </w:t>
      </w:r>
      <w:r>
        <w:rPr>
          <w:rFonts w:ascii="Segoe UI Light" w:hAnsi="Segoe UI Light"/>
          <w:b/>
          <w:sz w:val="21"/>
        </w:rPr>
        <w:t>Burnout</w:t>
      </w:r>
      <w:r>
        <w:rPr>
          <w:rFonts w:ascii="Segoe UI Light" w:hAnsi="Segoe UI Light"/>
          <w:sz w:val="21"/>
        </w:rPr>
        <w:t xml:space="preserve"> by about 9 points, without changing modelled engagement.</w:t>
      </w:r>
    </w:p>
    <w:p>
      <w:pPr>
        <w:spacing w:after="120"/>
      </w:pPr>
      <w:r>
        <w:rPr>
          <w:rFonts w:ascii="Segoe UI Light" w:hAnsi="Segoe UI Light"/>
          <w:sz w:val="21"/>
        </w:rPr>
        <w:t>The next decision is not which modelled percentage to promise. It is where local conditions require action and which changes are feasible.</w:t>
      </w:r>
    </w:p>
    <w:p>
      <w:pPr>
        <w:spacing w:after="120"/>
      </w:pPr>
      <w:r>
        <w:rPr>
          <w:rFonts w:ascii="Segoe UI Light" w:hAnsi="Segoe UI Light"/>
          <w:sz w:val="21"/>
        </w:rPr>
        <w:t>Leaders should appoint an accountable sponsor, establish the first local baseline and consult workers on these five factors. Confirmed harmful demands should be addressed promptly through changes to priorities, capacity, schedules or recovery arrangements. Longer-term redesign should preserve purposeful work, acknowledgement and existing supports.</w:t>
      </w:r>
    </w:p>
    <w:p>
      <w:pPr>
        <w:spacing w:after="120"/>
      </w:pPr>
      <w:r>
        <w:rPr>
          <w:rFonts w:ascii="Segoe UI Light" w:hAnsi="Segoe UI Light"/>
          <w:sz w:val="21"/>
        </w:rPr>
        <w:t>Progress should be checked against the recorded local baseline, including whether pressure has shifted to other workers. Other factors remain available in Data Analytics at priorwork.au.</w:t>
      </w:r>
    </w:p>
    <w:p>
      <w:r>
        <w:br w:type="page"/>
      </w:r>
    </w:p>
    <w:p>
      <w:bookmarkStart w:id="1" w:name="_PWToc1"/>
      <w:pPr>
        <w:pStyle w:val="Heading1"/>
      </w:pPr>
      <w:r>
        <w:rPr>
          <w:rFonts w:ascii="Segoe UI Light" w:hAnsi="Segoe UI Light"/>
          <w:b/>
          <w:color w:val="1E3A5F"/>
          <w:sz w:val="28"/>
        </w:rPr>
        <w:t>Context and Approach</w:t>
      </w:r>
      <w:bookmarkEnd w:id="1"/>
    </w:p>
    <w:p>
      <w:pPr>
        <w:spacing w:after="120"/>
      </w:pPr>
      <w:r>
        <w:rPr>
          <w:rFonts w:ascii="Segoe UI Light" w:hAnsi="Segoe UI Light"/>
          <w:sz w:val="21"/>
        </w:rPr>
        <w:t>This report gives Test Org’s senior leaders a starting point for choosing how to manage psychosocial risks and strengthen positive working conditions across its workforce of 1,200 workers. It focuses on work arrangements that may affect workers’ health and engagement, and on the local evidence needed before committing resources.</w:t>
      </w:r>
    </w:p>
    <w:p>
      <w:pPr>
        <w:spacing w:after="120"/>
      </w:pPr>
      <w:r>
        <w:rPr>
          <w:rFonts w:ascii="Segoe UI Light" w:hAnsi="Segoe UI Light"/>
          <w:sz w:val="21"/>
        </w:rPr>
        <w:t>The supplied context, dated 25 September 2026, does not describe workforce groups, existing initiatives, available resources or current risk controls. Recommendations therefore identify decisions and possible actions rather than assume particular problems or programmes already exist.</w:t>
      </w:r>
    </w:p>
    <w:p>
      <w:bookmarkStart w:id="2" w:name="_PWToc2"/>
      <w:pPr>
        <w:pStyle w:val="Heading2"/>
      </w:pPr>
      <w:r>
        <w:rPr>
          <w:rFonts w:ascii="Segoe UI Light" w:hAnsi="Segoe UI Light"/>
          <w:b/>
          <w:color w:val="2D5A8E"/>
          <w:sz w:val="22"/>
        </w:rPr>
        <w:t>Evidence and interpretation</w:t>
      </w:r>
      <w:bookmarkEnd w:id="2"/>
    </w:p>
    <w:p>
      <w:pPr>
        <w:spacing w:after="120"/>
      </w:pPr>
      <w:r>
        <w:rPr>
          <w:rFonts w:ascii="Segoe UI Light" w:hAnsi="Segoe UI Light"/>
          <w:sz w:val="21"/>
        </w:rPr>
        <w:t xml:space="preserve">The estimates come from the supplied </w:t>
      </w:r>
      <w:r>
        <w:rPr>
          <w:rFonts w:ascii="Segoe UI Light" w:hAnsi="Segoe UI Light"/>
          <w:b/>
          <w:sz w:val="21"/>
        </w:rPr>
        <w:t>General Australian Workforce</w:t>
      </w:r>
      <w:r>
        <w:rPr>
          <w:rFonts w:ascii="Segoe UI Light" w:hAnsi="Segoe UI Light"/>
          <w:sz w:val="21"/>
        </w:rPr>
        <w:t xml:space="preserve"> model. Its original data source and response-fitting coverage are unrecorded. The model’s name does not establish that it represents Australian workers or was fitted to Test Org responses. Prediction checking is unavailable, and the estimates have no uncertainty ranges. They are useful for identifying questions and comparing possibilities, not for establishing local prevalence or precise expected benefits.</w:t>
      </w:r>
    </w:p>
    <w:p>
      <w:pPr>
        <w:spacing w:after="120"/>
      </w:pPr>
      <w:r>
        <w:rPr>
          <w:rFonts w:ascii="Segoe UI Light" w:hAnsi="Segoe UI Light"/>
          <w:sz w:val="21"/>
        </w:rPr>
        <w:t>Each scenario assumes that everyone experiences the specified conditions. These are hypothetical comparisons, not reports of workers’ experiences or predictions of what a proposed control will achieve. The model’s starting estimates provide the comparison point. Percentages describe estimated shares; percentage points describe differences between those shares.</w:t>
      </w:r>
    </w:p>
    <w:p>
      <w:pPr>
        <w:spacing w:after="120"/>
      </w:pPr>
      <w:r>
        <w:rPr>
          <w:rFonts w:ascii="Segoe UI Light" w:hAnsi="Segoe UI Light"/>
          <w:sz w:val="21"/>
        </w:rPr>
        <w:t>The outcomes have distinct meanings:</w:t>
      </w:r>
    </w:p>
    <w:p>
      <w:pPr>
        <w:pStyle w:val="ListBullet"/>
        <w:spacing w:after="60"/>
      </w:pPr>
      <w:r>
        <w:rPr>
          <w:rFonts w:ascii="Segoe UI Light" w:hAnsi="Segoe UI Light"/>
          <w:b/>
          <w:sz w:val="21"/>
        </w:rPr>
        <w:t>Work Engagement</w:t>
      </w:r>
      <w:r>
        <w:rPr>
          <w:rFonts w:ascii="Segoe UI Light" w:hAnsi="Segoe UI Light"/>
          <w:sz w:val="21"/>
        </w:rPr>
        <w:t xml:space="preserve"> describes energy, dedication and absorption in work. High is the favourable category.</w:t>
      </w:r>
    </w:p>
    <w:p>
      <w:pPr>
        <w:pStyle w:val="ListBullet"/>
        <w:spacing w:after="60"/>
      </w:pPr>
      <w:r>
        <w:rPr>
          <w:rFonts w:ascii="Segoe UI Light" w:hAnsi="Segoe UI Light"/>
          <w:b/>
          <w:sz w:val="21"/>
        </w:rPr>
        <w:t>Burnout</w:t>
      </w:r>
      <w:r>
        <w:rPr>
          <w:rFonts w:ascii="Segoe UI Light" w:hAnsi="Segoe UI Light"/>
          <w:sz w:val="21"/>
        </w:rPr>
        <w:t xml:space="preserve"> describes exhaustion and detachment after prolonged work-related stress. High is the adverse category.</w:t>
      </w:r>
    </w:p>
    <w:p>
      <w:pPr>
        <w:pStyle w:val="ListBullet"/>
        <w:spacing w:after="60"/>
      </w:pPr>
      <w:r>
        <w:rPr>
          <w:rFonts w:ascii="Segoe UI Light" w:hAnsi="Segoe UI Light"/>
          <w:b/>
          <w:sz w:val="21"/>
        </w:rPr>
        <w:t>Psych Distress</w:t>
      </w:r>
      <w:r>
        <w:rPr>
          <w:rFonts w:ascii="Segoe UI Light" w:hAnsi="Segoe UI Light"/>
          <w:sz w:val="21"/>
        </w:rPr>
        <w:t xml:space="preserve"> describes feelings such as anxiety, hopelessness and low mood. High is the adverse category.</w:t>
      </w:r>
    </w:p>
    <w:p>
      <w:pPr>
        <w:spacing w:after="120"/>
      </w:pPr>
      <w:r>
        <w:rPr>
          <w:rFonts w:ascii="Segoe UI Light" w:hAnsi="Segoe UI Light"/>
          <w:sz w:val="21"/>
        </w:rPr>
        <w:t>These recorded levels are not clinical diagnoses or estimates of the risk of developing a condition. An increase in a favourable category does not necessarily equal the reduction in an adverse category, because a third category can also change. This report concerns working conditions, not individual diagnosis or legal compliance.</w:t>
      </w:r>
    </w:p>
    <w:p>
      <w:pPr>
        <w:spacing w:after="120"/>
      </w:pPr>
      <w:r>
        <w:rPr>
          <w:rFonts w:ascii="Segoe UI Light" w:hAnsi="Segoe UI Light"/>
          <w:sz w:val="21"/>
        </w:rPr>
        <w:t xml:space="preserve">Data Analytics &gt; Diagnostics works backwards from a specified outcome category, here low </w:t>
      </w:r>
      <w:r>
        <w:rPr>
          <w:rFonts w:ascii="Segoe UI Light" w:hAnsi="Segoe UI Light"/>
          <w:b/>
          <w:sz w:val="21"/>
        </w:rPr>
        <w:t>Work Engagement</w:t>
      </w:r>
      <w:r>
        <w:rPr>
          <w:rFonts w:ascii="Segoe UI Light" w:hAnsi="Segoe UI Light"/>
          <w:sz w:val="21"/>
        </w:rPr>
        <w:t>, to estimate how the shares of working conditions differ from the model’s starting position. This helps choose investigation and consultation questions. It does not establish causes, changes over time, what happened to an individual, or which control should rank first.</w:t>
      </w:r>
    </w:p>
    <w:p>
      <w:pPr>
        <w:spacing w:after="120"/>
      </w:pPr>
      <w:r>
        <w:rPr>
          <w:rFonts w:ascii="Segoe UI Light" w:hAnsi="Segoe UI Light"/>
          <w:sz w:val="21"/>
        </w:rPr>
        <w:t>The detailed discussion is deliberately limited to five workplace factors most useful for the next decision. Other factors can be explored in Data Analytics at priorwork.au. If supporting material is exported, the model overview and interpretation note provide context; detailed tables are optional, and controls are held in a separate worksheet.</w:t>
      </w:r>
    </w:p>
    <w:p>
      <w:bookmarkStart w:id="3" w:name="_PWToc3"/>
      <w:pPr>
        <w:pStyle w:val="Heading1"/>
      </w:pPr>
      <w:r>
        <w:rPr>
          <w:rFonts w:ascii="Segoe UI Light" w:hAnsi="Segoe UI Light"/>
          <w:b/>
          <w:color w:val="1E3A5F"/>
          <w:sz w:val="28"/>
        </w:rPr>
        <w:t>Findings and What They Mean</w:t>
      </w:r>
      <w:bookmarkEnd w:id="3"/>
    </w:p>
    <w:p>
      <w:bookmarkStart w:id="4" w:name="_PWToc4"/>
      <w:pPr>
        <w:pStyle w:val="Heading2"/>
      </w:pPr>
      <w:r>
        <w:rPr>
          <w:rFonts w:ascii="Segoe UI Light" w:hAnsi="Segoe UI Light"/>
          <w:b/>
          <w:color w:val="2D5A8E"/>
          <w:sz w:val="22"/>
        </w:rPr>
        <w:t>The starting position</w:t>
      </w:r>
      <w:bookmarkEnd w:id="4"/>
    </w:p>
    <w:p>
      <w:pPr>
        <w:spacing w:after="120"/>
      </w:pPr>
      <w:r>
        <w:rPr>
          <w:rFonts w:ascii="Segoe UI Light" w:hAnsi="Segoe UI Light"/>
          <w:sz w:val="21"/>
        </w:rPr>
        <w:t>The model provides a mixed starting picture, with favourable outcomes alongside adverse outcomes.</w:t>
      </w:r>
    </w:p>
    <w:tbl>
      <w:tblPr>
        <w:tblStyle w:val="TableGrid"/>
        <w:tblLayout w:type="fixed"/>
        <w:tblLook w:firstColumn="1" w:firstRow="1" w:lastColumn="0" w:lastRow="0" w:noHBand="0" w:noVBand="1" w:val="04A0"/>
        <w:tblW w:w="5000" w:type="pct"/>
      </w:tblPr>
      <w:tblGrid>
        <w:gridCol w:w="3024"/>
        <w:gridCol w:w="3024"/>
        <w:gridCol w:w="3024"/>
      </w:tblGrid>
      <w:tr>
        <w:trPr>
          <w:tblHeader/>
          <w:cantSplit/>
        </w:trPr>
        <w:tc>
          <w:tcPr>
            <w:tcW w:type="dxa" w:w="3024"/>
            <w:shd w:fill="1E3A5F" w:val="clear"/>
            <w:vAlign w:val="center"/>
          </w:tcPr>
          <w:p>
            <w:pPr>
              <w:keepNext/>
              <w:spacing w:after="60" w:before="60"/>
              <w:jc w:val="left"/>
            </w:pPr>
            <w:r>
              <w:rPr>
                <w:rFonts w:ascii="Segoe UI Light" w:hAnsi="Segoe UI Light"/>
                <w:b/>
                <w:color w:val="FFFFFF"/>
                <w:sz w:val="18"/>
              </w:rPr>
              <w:t>Outcome</w:t>
            </w:r>
          </w:p>
        </w:tc>
        <w:tc>
          <w:tcPr>
            <w:tcW w:type="dxa" w:w="3024"/>
            <w:shd w:fill="1E3A5F" w:val="clear"/>
            <w:vAlign w:val="center"/>
          </w:tcPr>
          <w:p>
            <w:pPr>
              <w:keepNext/>
              <w:spacing w:after="60" w:before="60"/>
              <w:jc w:val="left"/>
            </w:pPr>
            <w:r>
              <w:rPr>
                <w:rFonts w:ascii="Segoe UI Light" w:hAnsi="Segoe UI Light"/>
                <w:b/>
                <w:color w:val="FFFFFF"/>
                <w:sz w:val="18"/>
              </w:rPr>
              <w:t>Favourable category</w:t>
            </w:r>
          </w:p>
        </w:tc>
        <w:tc>
          <w:tcPr>
            <w:tcW w:type="dxa" w:w="3024"/>
            <w:shd w:fill="1E3A5F" w:val="clear"/>
            <w:vAlign w:val="center"/>
          </w:tcPr>
          <w:p>
            <w:pPr>
              <w:keepNext/>
              <w:spacing w:after="60" w:before="60"/>
              <w:jc w:val="left"/>
            </w:pPr>
            <w:r>
              <w:rPr>
                <w:rFonts w:ascii="Segoe UI Light" w:hAnsi="Segoe UI Light"/>
                <w:b/>
                <w:color w:val="FFFFFF"/>
                <w:sz w:val="18"/>
              </w:rPr>
              <w:t>Adverse category</w:t>
            </w:r>
          </w:p>
        </w:tc>
      </w:tr>
      <w:tr>
        <w:trPr>
          <w:cantSplit/>
        </w:trPr>
        <w:tc>
          <w:tcPr>
            <w:tcW w:type="dxa" w:w="3024"/>
            <w:vAlign w:val="center"/>
          </w:tcPr>
          <w:p>
            <w:pPr>
              <w:keepNext/>
              <w:spacing w:after="60" w:before="60"/>
            </w:pPr>
            <w:r/>
            <w:r>
              <w:rPr>
                <w:rFonts w:ascii="Segoe UI Light" w:hAnsi="Segoe UI Light"/>
                <w:b/>
                <w:sz w:val="18"/>
              </w:rPr>
              <w:t>Work Engagement</w:t>
            </w:r>
          </w:p>
        </w:tc>
        <w:tc>
          <w:tcPr>
            <w:tcW w:type="dxa" w:w="3024"/>
            <w:vAlign w:val="center"/>
          </w:tcPr>
          <w:p>
            <w:pPr>
              <w:keepNext/>
              <w:spacing w:after="60" w:before="60"/>
            </w:pPr>
            <w:r/>
            <w:r>
              <w:rPr>
                <w:rFonts w:ascii="Segoe UI Light" w:hAnsi="Segoe UI Light"/>
                <w:sz w:val="18"/>
              </w:rPr>
              <w:t>High: 34.1%</w:t>
            </w:r>
          </w:p>
        </w:tc>
        <w:tc>
          <w:tcPr>
            <w:tcW w:type="dxa" w:w="3024"/>
            <w:vAlign w:val="center"/>
          </w:tcPr>
          <w:p>
            <w:pPr>
              <w:keepNext/>
              <w:spacing w:after="60" w:before="60"/>
            </w:pPr>
            <w:r/>
            <w:r>
              <w:rPr>
                <w:rFonts w:ascii="Segoe UI Light" w:hAnsi="Segoe UI Light"/>
                <w:sz w:val="18"/>
              </w:rPr>
              <w:t>Low: 18.5%</w:t>
            </w:r>
          </w:p>
        </w:tc>
      </w:tr>
      <w:tr>
        <w:trPr>
          <w:cantSplit/>
        </w:trPr>
        <w:tc>
          <w:tcPr>
            <w:tcW w:type="dxa" w:w="3024"/>
            <w:shd w:fill="F1F5F9" w:val="clear"/>
            <w:vAlign w:val="center"/>
          </w:tcPr>
          <w:p>
            <w:pPr>
              <w:keepNext/>
              <w:spacing w:after="60" w:before="60"/>
            </w:pPr>
            <w:r/>
            <w:r>
              <w:rPr>
                <w:rFonts w:ascii="Segoe UI Light" w:hAnsi="Segoe UI Light"/>
                <w:b/>
                <w:sz w:val="18"/>
              </w:rPr>
              <w:t>Burnout</w:t>
            </w:r>
          </w:p>
        </w:tc>
        <w:tc>
          <w:tcPr>
            <w:tcW w:type="dxa" w:w="3024"/>
            <w:shd w:fill="F1F5F9" w:val="clear"/>
            <w:vAlign w:val="center"/>
          </w:tcPr>
          <w:p>
            <w:pPr>
              <w:keepNext/>
              <w:spacing w:after="60" w:before="60"/>
            </w:pPr>
            <w:r/>
            <w:r>
              <w:rPr>
                <w:rFonts w:ascii="Segoe UI Light" w:hAnsi="Segoe UI Light"/>
                <w:sz w:val="18"/>
              </w:rPr>
              <w:t>Low: 33.3%</w:t>
            </w:r>
          </w:p>
        </w:tc>
        <w:tc>
          <w:tcPr>
            <w:tcW w:type="dxa" w:w="3024"/>
            <w:shd w:fill="F1F5F9" w:val="clear"/>
            <w:vAlign w:val="center"/>
          </w:tcPr>
          <w:p>
            <w:pPr>
              <w:keepNext/>
              <w:spacing w:after="60" w:before="60"/>
            </w:pPr>
            <w:r/>
            <w:r>
              <w:rPr>
                <w:rFonts w:ascii="Segoe UI Light" w:hAnsi="Segoe UI Light"/>
                <w:sz w:val="18"/>
              </w:rPr>
              <w:t>High: 25.5%</w:t>
            </w:r>
          </w:p>
        </w:tc>
      </w:tr>
      <w:tr>
        <w:trPr>
          <w:cantSplit/>
        </w:trPr>
        <w:tc>
          <w:tcPr>
            <w:tcW w:type="dxa" w:w="3024"/>
            <w:vAlign w:val="center"/>
          </w:tcPr>
          <w:p>
            <w:pPr>
              <w:keepNext w:val="0"/>
              <w:spacing w:after="60" w:before="60"/>
            </w:pPr>
            <w:r/>
            <w:r>
              <w:rPr>
                <w:rFonts w:ascii="Segoe UI Light" w:hAnsi="Segoe UI Light"/>
                <w:b/>
                <w:sz w:val="18"/>
              </w:rPr>
              <w:t>Psych Distress</w:t>
            </w:r>
          </w:p>
        </w:tc>
        <w:tc>
          <w:tcPr>
            <w:tcW w:type="dxa" w:w="3024"/>
            <w:vAlign w:val="center"/>
          </w:tcPr>
          <w:p>
            <w:pPr>
              <w:keepNext w:val="0"/>
              <w:spacing w:after="60" w:before="60"/>
            </w:pPr>
            <w:r/>
            <w:r>
              <w:rPr>
                <w:rFonts w:ascii="Segoe UI Light" w:hAnsi="Segoe UI Light"/>
                <w:sz w:val="18"/>
              </w:rPr>
              <w:t>Low: 45.4%</w:t>
            </w:r>
          </w:p>
        </w:tc>
        <w:tc>
          <w:tcPr>
            <w:tcW w:type="dxa" w:w="3024"/>
            <w:vAlign w:val="center"/>
          </w:tcPr>
          <w:p>
            <w:pPr>
              <w:keepNext w:val="0"/>
              <w:spacing w:after="60" w:before="60"/>
            </w:pPr>
            <w:r/>
            <w:r>
              <w:rPr>
                <w:rFonts w:ascii="Segoe UI Light" w:hAnsi="Segoe UI Light"/>
                <w:sz w:val="18"/>
              </w:rPr>
              <w:t>High: 18.4%</w:t>
            </w:r>
          </w:p>
        </w:tc>
      </w:tr>
    </w:tbl>
    <w:p>
      <w:pPr>
        <w:spacing w:after="0"/>
      </w:pPr>
    </w:p>
    <w:p>
      <w:pPr>
        <w:spacing w:after="120"/>
      </w:pPr>
      <w:r>
        <w:rPr>
          <w:rFonts w:ascii="Segoe UI Light" w:hAnsi="Segoe UI Light"/>
          <w:sz w:val="21"/>
        </w:rPr>
        <w:t>These figures support considering both harm prevention and positive work design. They should not be converted into counts of affected Test Org workers.</w:t>
      </w:r>
    </w:p>
    <w:p>
      <w:pPr>
        <w:spacing w:after="120"/>
      </w:pPr>
      <w:r>
        <w:rPr>
          <w:rFonts w:ascii="Segoe UI Light" w:hAnsi="Segoe UI Light"/>
          <w:sz w:val="21"/>
        </w:rPr>
        <w:t xml:space="preserve">The model also contains potentially useful strengths: high </w:t>
      </w:r>
      <w:r>
        <w:rPr>
          <w:rFonts w:ascii="Segoe UI Light" w:hAnsi="Segoe UI Light"/>
          <w:b/>
          <w:sz w:val="21"/>
        </w:rPr>
        <w:t>Meaningful Work</w:t>
      </w:r>
      <w:r>
        <w:rPr>
          <w:rFonts w:ascii="Segoe UI Light" w:hAnsi="Segoe UI Light"/>
          <w:sz w:val="21"/>
        </w:rPr>
        <w:t xml:space="preserve"> is estimated at about 55%, and high </w:t>
      </w:r>
      <w:r>
        <w:rPr>
          <w:rFonts w:ascii="Segoe UI Light" w:hAnsi="Segoe UI Light"/>
          <w:b/>
          <w:sz w:val="21"/>
        </w:rPr>
        <w:t>Recognition</w:t>
      </w:r>
      <w:r>
        <w:rPr>
          <w:rFonts w:ascii="Segoe UI Light" w:hAnsi="Segoe UI Light"/>
          <w:sz w:val="21"/>
        </w:rPr>
        <w:t xml:space="preserve"> at about 50%. Local consultation should establish whether these strengths exist, where they are strongest and what arrangements sustain them. Improvements should protect useful work and existing supports rather than focus only on removing demands.</w:t>
      </w:r>
    </w:p>
    <w:p>
      <w:bookmarkStart w:id="5" w:name="_PWToc5"/>
      <w:pPr>
        <w:pStyle w:val="Heading2"/>
      </w:pPr>
      <w:r>
        <w:rPr>
          <w:rFonts w:ascii="Segoe UI Light" w:hAnsi="Segoe UI Light"/>
          <w:b/>
          <w:color w:val="2D5A8E"/>
          <w:sz w:val="22"/>
        </w:rPr>
        <w:t>Reduce excessive workload while preserving useful work</w:t>
      </w:r>
      <w:bookmarkEnd w:id="5"/>
    </w:p>
    <w:p>
      <w:pPr>
        <w:spacing w:after="120"/>
      </w:pPr>
      <w:r>
        <w:rPr>
          <w:rFonts w:ascii="Segoe UI Light" w:hAnsi="Segoe UI Light"/>
          <w:sz w:val="21"/>
        </w:rPr>
        <w:t xml:space="preserve">In the low </w:t>
      </w:r>
      <w:r>
        <w:rPr>
          <w:rFonts w:ascii="Segoe UI Light" w:hAnsi="Segoe UI Light"/>
          <w:b/>
          <w:sz w:val="21"/>
        </w:rPr>
        <w:t>Role Overload</w:t>
      </w:r>
      <w:r>
        <w:rPr>
          <w:rFonts w:ascii="Segoe UI Light" w:hAnsi="Segoe UI Light"/>
          <w:sz w:val="21"/>
        </w:rPr>
        <w:t xml:space="preserve"> scenario, high </w:t>
      </w:r>
      <w:r>
        <w:rPr>
          <w:rFonts w:ascii="Segoe UI Light" w:hAnsi="Segoe UI Light"/>
          <w:b/>
          <w:sz w:val="21"/>
        </w:rPr>
        <w:t>Burnout</w:t>
      </w:r>
      <w:r>
        <w:rPr>
          <w:rFonts w:ascii="Segoe UI Light" w:hAnsi="Segoe UI Light"/>
          <w:sz w:val="21"/>
        </w:rPr>
        <w:t xml:space="preserve"> falls by about 15 percentage points to around 10%. High </w:t>
      </w:r>
      <w:r>
        <w:rPr>
          <w:rFonts w:ascii="Segoe UI Light" w:hAnsi="Segoe UI Light"/>
          <w:b/>
          <w:sz w:val="21"/>
        </w:rPr>
        <w:t>Psych Distress</w:t>
      </w:r>
      <w:r>
        <w:rPr>
          <w:rFonts w:ascii="Segoe UI Light" w:hAnsi="Segoe UI Light"/>
          <w:sz w:val="21"/>
        </w:rPr>
        <w:t xml:space="preserve"> falls by about 7 points to around 11%. This is a substantial modelled reduction in adverse outcomes and makes excessive workload an early topic for local assessment.</w:t>
      </w:r>
    </w:p>
    <w:p>
      <w:pPr>
        <w:spacing w:after="120"/>
      </w:pPr>
      <w:r>
        <w:rPr>
          <w:rFonts w:ascii="Segoe UI Light" w:hAnsi="Segoe UI Light"/>
          <w:b/>
          <w:sz w:val="21"/>
        </w:rPr>
        <w:t>Role Overload</w:t>
      </w:r>
      <w:r>
        <w:rPr>
          <w:rFonts w:ascii="Segoe UI Light" w:hAnsi="Segoe UI Light"/>
          <w:sz w:val="21"/>
        </w:rPr>
        <w:t xml:space="preserve"> means that the amount, pace or time pressure of work exceeds what a worker can reasonably manage. The practical question is therefore not simply whether workers are busy, but whether required work can be completed with the time and resources available.</w:t>
      </w:r>
    </w:p>
    <w:p>
      <w:pPr>
        <w:spacing w:after="120"/>
      </w:pPr>
      <w:r>
        <w:rPr>
          <w:rFonts w:ascii="Segoe UI Light" w:hAnsi="Segoe UI Light"/>
          <w:sz w:val="21"/>
        </w:rPr>
        <w:t xml:space="preserve">There is also a trade-off. High </w:t>
      </w:r>
      <w:r>
        <w:rPr>
          <w:rFonts w:ascii="Segoe UI Light" w:hAnsi="Segoe UI Light"/>
          <w:b/>
          <w:sz w:val="21"/>
        </w:rPr>
        <w:t>Work Engagement</w:t>
      </w:r>
      <w:r>
        <w:rPr>
          <w:rFonts w:ascii="Segoe UI Light" w:hAnsi="Segoe UI Light"/>
          <w:sz w:val="21"/>
        </w:rPr>
        <w:t xml:space="preserve"> falls by about 1 percentage point to around 33%, while low </w:t>
      </w:r>
      <w:r>
        <w:rPr>
          <w:rFonts w:ascii="Segoe UI Light" w:hAnsi="Segoe UI Light"/>
          <w:b/>
          <w:sz w:val="21"/>
        </w:rPr>
        <w:t>Work Engagement</w:t>
      </w:r>
      <w:r>
        <w:rPr>
          <w:rFonts w:ascii="Segoe UI Light" w:hAnsi="Segoe UI Light"/>
          <w:sz w:val="21"/>
        </w:rPr>
        <w:t xml:space="preserve"> rises by about 2 points to around 20%. Reducing overload should therefore be paired with attention to the work workers value. Consultation should establish which tasks create unmanageable pressure and which provide purpose or useful challenge. That distinction would guide what to stop, defer, simplify or resource, rather than remove work indiscriminately.</w:t>
      </w:r>
    </w:p>
    <w:p>
      <w:pPr>
        <w:spacing w:after="120"/>
      </w:pPr>
      <w:r>
        <w:rPr>
          <w:rFonts w:ascii="Segoe UI Light" w:hAnsi="Segoe UI Light"/>
          <w:sz w:val="21"/>
        </w:rPr>
        <w:t xml:space="preserve">A related caution is important: the low </w:t>
      </w:r>
      <w:r>
        <w:rPr>
          <w:rFonts w:ascii="Segoe UI Light" w:hAnsi="Segoe UI Light"/>
          <w:b/>
          <w:sz w:val="21"/>
        </w:rPr>
        <w:t>Cognitive Demand</w:t>
      </w:r>
      <w:r>
        <w:rPr>
          <w:rFonts w:ascii="Segoe UI Light" w:hAnsi="Segoe UI Light"/>
          <w:sz w:val="21"/>
        </w:rPr>
        <w:t xml:space="preserve"> scenario reduces high </w:t>
      </w:r>
      <w:r>
        <w:rPr>
          <w:rFonts w:ascii="Segoe UI Light" w:hAnsi="Segoe UI Light"/>
          <w:b/>
          <w:sz w:val="21"/>
        </w:rPr>
        <w:t>Work Engagement</w:t>
      </w:r>
      <w:r>
        <w:rPr>
          <w:rFonts w:ascii="Segoe UI Light" w:hAnsi="Segoe UI Light"/>
          <w:sz w:val="21"/>
        </w:rPr>
        <w:t xml:space="preserve"> by about 18 percentage points to around 16%. This is not a reason to increase demands. It is a reason to distinguish excessive volume and time pressure from useful mental challenge when redesigning work.</w:t>
      </w:r>
    </w:p>
    <w:p>
      <w:bookmarkStart w:id="6" w:name="_PWToc6"/>
      <w:pPr>
        <w:pStyle w:val="Heading2"/>
      </w:pPr>
      <w:r>
        <w:rPr>
          <w:rFonts w:ascii="Segoe UI Light" w:hAnsi="Segoe UI Light"/>
          <w:b/>
          <w:color w:val="2D5A8E"/>
          <w:sz w:val="22"/>
        </w:rPr>
        <w:t>Reduce interference with life outside work</w:t>
      </w:r>
      <w:bookmarkEnd w:id="6"/>
    </w:p>
    <w:p>
      <w:pPr>
        <w:spacing w:after="120"/>
      </w:pPr>
      <w:r>
        <w:rPr>
          <w:rFonts w:ascii="Segoe UI Light" w:hAnsi="Segoe UI Light"/>
          <w:sz w:val="21"/>
        </w:rPr>
        <w:t xml:space="preserve">In the low </w:t>
      </w:r>
      <w:r>
        <w:rPr>
          <w:rFonts w:ascii="Segoe UI Light" w:hAnsi="Segoe UI Light"/>
          <w:b/>
          <w:sz w:val="21"/>
        </w:rPr>
        <w:t>Work Life Conflict</w:t>
      </w:r>
      <w:r>
        <w:rPr>
          <w:rFonts w:ascii="Segoe UI Light" w:hAnsi="Segoe UI Light"/>
          <w:sz w:val="21"/>
        </w:rPr>
        <w:t xml:space="preserve"> scenario, high </w:t>
      </w:r>
      <w:r>
        <w:rPr>
          <w:rFonts w:ascii="Segoe UI Light" w:hAnsi="Segoe UI Light"/>
          <w:b/>
          <w:sz w:val="21"/>
        </w:rPr>
        <w:t>Burnout</w:t>
      </w:r>
      <w:r>
        <w:rPr>
          <w:rFonts w:ascii="Segoe UI Light" w:hAnsi="Segoe UI Light"/>
          <w:sz w:val="21"/>
        </w:rPr>
        <w:t xml:space="preserve"> falls by about 9 percentage points to around 16%, and high </w:t>
      </w:r>
      <w:r>
        <w:rPr>
          <w:rFonts w:ascii="Segoe UI Light" w:hAnsi="Segoe UI Light"/>
          <w:b/>
          <w:sz w:val="21"/>
        </w:rPr>
        <w:t>Psych Distress</w:t>
      </w:r>
      <w:r>
        <w:rPr>
          <w:rFonts w:ascii="Segoe UI Light" w:hAnsi="Segoe UI Light"/>
          <w:sz w:val="21"/>
        </w:rPr>
        <w:t xml:space="preserve"> falls by about 8 points to around 10%. High </w:t>
      </w:r>
      <w:r>
        <w:rPr>
          <w:rFonts w:ascii="Segoe UI Light" w:hAnsi="Segoe UI Light"/>
          <w:b/>
          <w:sz w:val="21"/>
        </w:rPr>
        <w:t>Work Engagement</w:t>
      </w:r>
      <w:r>
        <w:rPr>
          <w:rFonts w:ascii="Segoe UI Light" w:hAnsi="Segoe UI Light"/>
          <w:sz w:val="21"/>
        </w:rPr>
        <w:t xml:space="preserve"> also increases by about 7 points to around 41%.</w:t>
      </w:r>
    </w:p>
    <w:p>
      <w:pPr>
        <w:spacing w:after="120"/>
      </w:pPr>
      <w:r>
        <w:rPr>
          <w:rFonts w:ascii="Segoe UI Light" w:hAnsi="Segoe UI Light"/>
          <w:sz w:val="21"/>
        </w:rPr>
        <w:t xml:space="preserve">This comparison offers a more balanced pattern across all three outcomes than reducing overload alone. </w:t>
      </w:r>
      <w:r>
        <w:rPr>
          <w:rFonts w:ascii="Segoe UI Light" w:hAnsi="Segoe UI Light"/>
          <w:b/>
          <w:sz w:val="21"/>
        </w:rPr>
        <w:t>Work Life Conflict</w:t>
      </w:r>
      <w:r>
        <w:rPr>
          <w:rFonts w:ascii="Segoe UI Light" w:hAnsi="Segoe UI Light"/>
          <w:sz w:val="21"/>
        </w:rPr>
        <w:t xml:space="preserve"> concerns work interfering with home life, relationships and responsibilities outside work. It may require different controls from a general workload review.</w:t>
      </w:r>
    </w:p>
    <w:p>
      <w:pPr>
        <w:spacing w:after="120"/>
      </w:pPr>
      <w:r>
        <w:rPr>
          <w:rFonts w:ascii="Segoe UI Light" w:hAnsi="Segoe UI Light"/>
          <w:sz w:val="21"/>
        </w:rPr>
        <w:t>Possible issues to investigate include unpredictable hours, late schedule changes, work continuing after hours, or difficulty accessing breaks and leave. These are suggestions, not established local causes. If consultation identifies scheduling as the main problem, greater predictability may be more useful than task reduction alone. If excessive volume repeatedly spills into personal time, workload and scheduling changes may both be needed.</w:t>
      </w:r>
    </w:p>
    <w:p>
      <w:bookmarkStart w:id="7" w:name="_PWToc7"/>
      <w:pPr>
        <w:pStyle w:val="Heading2"/>
      </w:pPr>
      <w:r>
        <w:rPr>
          <w:rFonts w:ascii="Segoe UI Light" w:hAnsi="Segoe UI Light"/>
          <w:b/>
          <w:color w:val="2D5A8E"/>
          <w:sz w:val="22"/>
        </w:rPr>
        <w:t>Strengthen purpose and acknowledge contribution</w:t>
      </w:r>
      <w:bookmarkEnd w:id="7"/>
    </w:p>
    <w:p>
      <w:pPr>
        <w:spacing w:after="120"/>
      </w:pPr>
      <w:r>
        <w:rPr>
          <w:rFonts w:ascii="Segoe UI Light" w:hAnsi="Segoe UI Light"/>
          <w:sz w:val="21"/>
        </w:rPr>
        <w:t xml:space="preserve">The high </w:t>
      </w:r>
      <w:r>
        <w:rPr>
          <w:rFonts w:ascii="Segoe UI Light" w:hAnsi="Segoe UI Light"/>
          <w:b/>
          <w:sz w:val="21"/>
        </w:rPr>
        <w:t>Meaningful Work</w:t>
      </w:r>
      <w:r>
        <w:rPr>
          <w:rFonts w:ascii="Segoe UI Light" w:hAnsi="Segoe UI Light"/>
          <w:sz w:val="21"/>
        </w:rPr>
        <w:t xml:space="preserve"> scenario produces the largest high </w:t>
      </w:r>
      <w:r>
        <w:rPr>
          <w:rFonts w:ascii="Segoe UI Light" w:hAnsi="Segoe UI Light"/>
          <w:b/>
          <w:sz w:val="21"/>
        </w:rPr>
        <w:t>Work Engagement</w:t>
      </w:r>
      <w:r>
        <w:rPr>
          <w:rFonts w:ascii="Segoe UI Light" w:hAnsi="Segoe UI Light"/>
          <w:sz w:val="21"/>
        </w:rPr>
        <w:t xml:space="preserve"> gain among the five focus factors: about 12 percentage points, reaching around 46%. High </w:t>
      </w:r>
      <w:r>
        <w:rPr>
          <w:rFonts w:ascii="Segoe UI Light" w:hAnsi="Segoe UI Light"/>
          <w:b/>
          <w:sz w:val="21"/>
        </w:rPr>
        <w:t>Burnout</w:t>
      </w:r>
      <w:r>
        <w:rPr>
          <w:rFonts w:ascii="Segoe UI Light" w:hAnsi="Segoe UI Light"/>
          <w:sz w:val="21"/>
        </w:rPr>
        <w:t xml:space="preserve"> falls by about 4 points to around 22%, while high </w:t>
      </w:r>
      <w:r>
        <w:rPr>
          <w:rFonts w:ascii="Segoe UI Light" w:hAnsi="Segoe UI Light"/>
          <w:b/>
          <w:sz w:val="21"/>
        </w:rPr>
        <w:t>Psych Distress</w:t>
      </w:r>
      <w:r>
        <w:rPr>
          <w:rFonts w:ascii="Segoe UI Light" w:hAnsi="Segoe UI Light"/>
          <w:sz w:val="21"/>
        </w:rPr>
        <w:t xml:space="preserve"> falls by about 1 point to around 17%.</w:t>
      </w:r>
    </w:p>
    <w:p>
      <w:pPr>
        <w:spacing w:after="120"/>
      </w:pPr>
      <w:r>
        <w:rPr>
          <w:rFonts w:ascii="Segoe UI Light" w:hAnsi="Segoe UI Light"/>
          <w:b/>
          <w:sz w:val="21"/>
        </w:rPr>
        <w:t>Meaningful Work</w:t>
      </w:r>
      <w:r>
        <w:rPr>
          <w:rFonts w:ascii="Segoe UI Light" w:hAnsi="Segoe UI Light"/>
          <w:sz w:val="21"/>
        </w:rPr>
        <w:t xml:space="preserve"> concerns whether work feels worthwhile, uses workers’ strengths and helps them see why their contribution matters. The practical opportunity is to protect valuable tasks and make their contribution clearer. It is not to add more responsibilities in the name of purpose.</w:t>
      </w:r>
    </w:p>
    <w:p>
      <w:pPr>
        <w:spacing w:after="120"/>
      </w:pPr>
      <w:r>
        <w:rPr>
          <w:rFonts w:ascii="Segoe UI Light" w:hAnsi="Segoe UI Light"/>
          <w:sz w:val="21"/>
        </w:rPr>
        <w:t xml:space="preserve">High </w:t>
      </w:r>
      <w:r>
        <w:rPr>
          <w:rFonts w:ascii="Segoe UI Light" w:hAnsi="Segoe UI Light"/>
          <w:b/>
          <w:sz w:val="21"/>
        </w:rPr>
        <w:t>Recognition</w:t>
      </w:r>
      <w:r>
        <w:rPr>
          <w:rFonts w:ascii="Segoe UI Light" w:hAnsi="Segoe UI Light"/>
          <w:sz w:val="21"/>
        </w:rPr>
        <w:t xml:space="preserve"> produces a similar engagement opportunity. High </w:t>
      </w:r>
      <w:r>
        <w:rPr>
          <w:rFonts w:ascii="Segoe UI Light" w:hAnsi="Segoe UI Light"/>
          <w:b/>
          <w:sz w:val="21"/>
        </w:rPr>
        <w:t>Work Engagement</w:t>
      </w:r>
      <w:r>
        <w:rPr>
          <w:rFonts w:ascii="Segoe UI Light" w:hAnsi="Segoe UI Light"/>
          <w:sz w:val="21"/>
        </w:rPr>
        <w:t xml:space="preserve"> rises by about 11 percentage points to around 45%. High </w:t>
      </w:r>
      <w:r>
        <w:rPr>
          <w:rFonts w:ascii="Segoe UI Light" w:hAnsi="Segoe UI Light"/>
          <w:b/>
          <w:sz w:val="21"/>
        </w:rPr>
        <w:t>Burnout</w:t>
      </w:r>
      <w:r>
        <w:rPr>
          <w:rFonts w:ascii="Segoe UI Light" w:hAnsi="Segoe UI Light"/>
          <w:sz w:val="21"/>
        </w:rPr>
        <w:t xml:space="preserve"> falls by about 5 points to around 20%, and high </w:t>
      </w:r>
      <w:r>
        <w:rPr>
          <w:rFonts w:ascii="Segoe UI Light" w:hAnsi="Segoe UI Light"/>
          <w:b/>
          <w:sz w:val="21"/>
        </w:rPr>
        <w:t>Psych Distress</w:t>
      </w:r>
      <w:r>
        <w:rPr>
          <w:rFonts w:ascii="Segoe UI Light" w:hAnsi="Segoe UI Light"/>
          <w:sz w:val="21"/>
        </w:rPr>
        <w:t xml:space="preserve"> falls by about 3 points to around 16%.</w:t>
      </w:r>
    </w:p>
    <w:p>
      <w:pPr>
        <w:spacing w:after="120"/>
      </w:pPr>
      <w:r>
        <w:rPr>
          <w:rFonts w:ascii="Segoe UI Light" w:hAnsi="Segoe UI Light"/>
          <w:b/>
          <w:sz w:val="21"/>
        </w:rPr>
        <w:t>Recognition</w:t>
      </w:r>
      <w:r>
        <w:rPr>
          <w:rFonts w:ascii="Segoe UI Light" w:hAnsi="Segoe UI Light"/>
          <w:sz w:val="21"/>
        </w:rPr>
        <w:t xml:space="preserve"> includes feedback and acknowledgement, but also fair pay and opportunities to progress. Consultation should establish what workers find missing. If the gap is timely feedback, a change in everyday management practice may be appropriate. If workers describe unfair allocation of rewards or opportunities, praise alone would not address the issue.</w:t>
      </w:r>
    </w:p>
    <w:p>
      <w:pPr>
        <w:spacing w:after="120"/>
      </w:pPr>
      <w:r>
        <w:rPr>
          <w:rFonts w:ascii="Segoe UI Light" w:hAnsi="Segoe UI Light"/>
          <w:sz w:val="21"/>
        </w:rPr>
        <w:t>Together, these findings suggest that protecting health and improving engagement should be complementary aims. Purpose and acknowledgement should support better work arrangements, not compensate for harmful demands.</w:t>
      </w:r>
    </w:p>
    <w:p>
      <w:bookmarkStart w:id="8" w:name="_PWToc8"/>
      <w:pPr>
        <w:pStyle w:val="Heading2"/>
      </w:pPr>
      <w:r>
        <w:rPr>
          <w:rFonts w:ascii="Segoe UI Light" w:hAnsi="Segoe UI Light"/>
          <w:b/>
          <w:color w:val="2D5A8E"/>
          <w:sz w:val="22"/>
        </w:rPr>
        <w:t>Address emotionally demanding work where it occurs</w:t>
      </w:r>
      <w:bookmarkEnd w:id="8"/>
    </w:p>
    <w:p>
      <w:pPr>
        <w:spacing w:after="120"/>
      </w:pPr>
      <w:r>
        <w:rPr>
          <w:rFonts w:ascii="Segoe UI Light" w:hAnsi="Segoe UI Light"/>
          <w:sz w:val="21"/>
        </w:rPr>
        <w:t xml:space="preserve">In the low </w:t>
      </w:r>
      <w:r>
        <w:rPr>
          <w:rFonts w:ascii="Segoe UI Light" w:hAnsi="Segoe UI Light"/>
          <w:b/>
          <w:sz w:val="21"/>
        </w:rPr>
        <w:t>Emotional Demand</w:t>
      </w:r>
      <w:r>
        <w:rPr>
          <w:rFonts w:ascii="Segoe UI Light" w:hAnsi="Segoe UI Light"/>
          <w:sz w:val="21"/>
        </w:rPr>
        <w:t xml:space="preserve"> scenario, high </w:t>
      </w:r>
      <w:r>
        <w:rPr>
          <w:rFonts w:ascii="Segoe UI Light" w:hAnsi="Segoe UI Light"/>
          <w:b/>
          <w:sz w:val="21"/>
        </w:rPr>
        <w:t>Burnout</w:t>
      </w:r>
      <w:r>
        <w:rPr>
          <w:rFonts w:ascii="Segoe UI Light" w:hAnsi="Segoe UI Light"/>
          <w:sz w:val="21"/>
        </w:rPr>
        <w:t xml:space="preserve"> falls by about 9 percentage points to around 16%, and high </w:t>
      </w:r>
      <w:r>
        <w:rPr>
          <w:rFonts w:ascii="Segoe UI Light" w:hAnsi="Segoe UI Light"/>
          <w:b/>
          <w:sz w:val="21"/>
        </w:rPr>
        <w:t>Psych Distress</w:t>
      </w:r>
      <w:r>
        <w:rPr>
          <w:rFonts w:ascii="Segoe UI Light" w:hAnsi="Segoe UI Light"/>
          <w:sz w:val="21"/>
        </w:rPr>
        <w:t xml:space="preserve"> falls by about 3 points to around 16%. The model shows no change in high or low </w:t>
      </w:r>
      <w:r>
        <w:rPr>
          <w:rFonts w:ascii="Segoe UI Light" w:hAnsi="Segoe UI Light"/>
          <w:b/>
          <w:sz w:val="21"/>
        </w:rPr>
        <w:t>Work Engagement</w:t>
      </w:r>
      <w:r>
        <w:rPr>
          <w:rFonts w:ascii="Segoe UI Light" w:hAnsi="Segoe UI Light"/>
          <w:sz w:val="21"/>
        </w:rPr>
        <w:t>.</w:t>
      </w:r>
    </w:p>
    <w:p>
      <w:pPr>
        <w:spacing w:after="120"/>
      </w:pPr>
      <w:r>
        <w:rPr>
          <w:rFonts w:ascii="Segoe UI Light" w:hAnsi="Segoe UI Light"/>
          <w:b/>
          <w:sz w:val="21"/>
        </w:rPr>
        <w:t>Emotional Demand</w:t>
      </w:r>
      <w:r>
        <w:rPr>
          <w:rFonts w:ascii="Segoe UI Light" w:hAnsi="Segoe UI Light"/>
          <w:sz w:val="21"/>
        </w:rPr>
        <w:t xml:space="preserve"> includes responding to others’ distress and managing the emotions shown as part of a role. Its importance will depend on the work performed, which is not recorded in the supplied context.</w:t>
      </w:r>
    </w:p>
    <w:p>
      <w:pPr>
        <w:spacing w:after="120"/>
      </w:pPr>
      <w:r>
        <w:rPr>
          <w:rFonts w:ascii="Segoe UI Light" w:hAnsi="Segoe UI Light"/>
          <w:sz w:val="21"/>
        </w:rPr>
        <w:t>Where these demands are locally established, consultation should identify their frequency, intensity, recovery opportunities and access to practical help. Possible changes include better escalation arrangements, coverage for recovery breaks, or a more manageable distribution of demanding interactions. These options require checking: rotating difficult work, for example, may spread exposure rather than reduce it, while removing experienced workers could weaken support for others.</w:t>
      </w:r>
    </w:p>
    <w:p>
      <w:bookmarkStart w:id="9" w:name="_PWToc9"/>
      <w:pPr>
        <w:pStyle w:val="Heading2"/>
      </w:pPr>
      <w:r>
        <w:rPr>
          <w:rFonts w:ascii="Segoe UI Light" w:hAnsi="Segoe UI Light"/>
          <w:b/>
          <w:color w:val="2D5A8E"/>
          <w:sz w:val="22"/>
        </w:rPr>
        <w:t>Combined approaches involve a choice of emphasis</w:t>
      </w:r>
      <w:bookmarkEnd w:id="9"/>
    </w:p>
    <w:p>
      <w:pPr>
        <w:spacing w:after="120"/>
      </w:pPr>
      <w:r>
        <w:rPr>
          <w:rFonts w:ascii="Segoe UI Light" w:hAnsi="Segoe UI Light"/>
          <w:sz w:val="21"/>
        </w:rPr>
        <w:t>Two supplied combined scenarios illustrate why leaders should consider a package rather than add up separate gains.</w:t>
      </w:r>
    </w:p>
    <w:p>
      <w:pPr>
        <w:pStyle w:val="ListBullet"/>
        <w:spacing w:after="60"/>
      </w:pPr>
      <w:r>
        <w:rPr>
          <w:rFonts w:ascii="Segoe UI Light" w:hAnsi="Segoe UI Light"/>
          <w:b/>
          <w:sz w:val="21"/>
        </w:rPr>
        <w:t>Package A:</w:t>
      </w:r>
      <w:r>
        <w:rPr>
          <w:rFonts w:ascii="Segoe UI Light" w:hAnsi="Segoe UI Light"/>
          <w:sz w:val="21"/>
        </w:rPr>
        <w:t xml:space="preserve"> low </w:t>
      </w:r>
      <w:r>
        <w:rPr>
          <w:rFonts w:ascii="Segoe UI Light" w:hAnsi="Segoe UI Light"/>
          <w:b/>
          <w:sz w:val="21"/>
        </w:rPr>
        <w:t>Role Overload</w:t>
      </w:r>
      <w:r>
        <w:rPr>
          <w:rFonts w:ascii="Segoe UI Light" w:hAnsi="Segoe UI Light"/>
          <w:sz w:val="21"/>
        </w:rPr>
        <w:t xml:space="preserve">, low </w:t>
      </w:r>
      <w:r>
        <w:rPr>
          <w:rFonts w:ascii="Segoe UI Light" w:hAnsi="Segoe UI Light"/>
          <w:b/>
          <w:sz w:val="21"/>
        </w:rPr>
        <w:t>Work Life Conflict</w:t>
      </w:r>
      <w:r>
        <w:rPr>
          <w:rFonts w:ascii="Segoe UI Light" w:hAnsi="Segoe UI Light"/>
          <w:sz w:val="21"/>
        </w:rPr>
        <w:t xml:space="preserve"> and high </w:t>
      </w:r>
      <w:r>
        <w:rPr>
          <w:rFonts w:ascii="Segoe UI Light" w:hAnsi="Segoe UI Light"/>
          <w:b/>
          <w:sz w:val="21"/>
        </w:rPr>
        <w:t>Meaningful Work</w:t>
      </w:r>
      <w:r>
        <w:rPr>
          <w:rFonts w:ascii="Segoe UI Light" w:hAnsi="Segoe UI Light"/>
          <w:sz w:val="21"/>
        </w:rPr>
        <w:t>.</w:t>
      </w:r>
    </w:p>
    <w:p>
      <w:pPr>
        <w:pStyle w:val="ListBullet"/>
        <w:spacing w:after="60"/>
      </w:pPr>
      <w:r>
        <w:rPr>
          <w:rFonts w:ascii="Segoe UI Light" w:hAnsi="Segoe UI Light"/>
          <w:b/>
          <w:sz w:val="21"/>
        </w:rPr>
        <w:t>Package B:</w:t>
      </w:r>
      <w:r>
        <w:rPr>
          <w:rFonts w:ascii="Segoe UI Light" w:hAnsi="Segoe UI Light"/>
          <w:sz w:val="21"/>
        </w:rPr>
        <w:t xml:space="preserve"> low </w:t>
      </w:r>
      <w:r>
        <w:rPr>
          <w:rFonts w:ascii="Segoe UI Light" w:hAnsi="Segoe UI Light"/>
          <w:b/>
          <w:sz w:val="21"/>
        </w:rPr>
        <w:t>Role Overload</w:t>
      </w:r>
      <w:r>
        <w:rPr>
          <w:rFonts w:ascii="Segoe UI Light" w:hAnsi="Segoe UI Light"/>
          <w:sz w:val="21"/>
        </w:rPr>
        <w:t xml:space="preserve">, high </w:t>
      </w:r>
      <w:r>
        <w:rPr>
          <w:rFonts w:ascii="Segoe UI Light" w:hAnsi="Segoe UI Light"/>
          <w:b/>
          <w:sz w:val="21"/>
        </w:rPr>
        <w:t>Recognition</w:t>
      </w:r>
      <w:r>
        <w:rPr>
          <w:rFonts w:ascii="Segoe UI Light" w:hAnsi="Segoe UI Light"/>
          <w:sz w:val="21"/>
        </w:rPr>
        <w:t xml:space="preserve"> and high </w:t>
      </w:r>
      <w:r>
        <w:rPr>
          <w:rFonts w:ascii="Segoe UI Light" w:hAnsi="Segoe UI Light"/>
          <w:b/>
          <w:sz w:val="21"/>
        </w:rPr>
        <w:t>Meaningful Work</w:t>
      </w:r>
      <w:r>
        <w:rPr>
          <w:rFonts w:ascii="Segoe UI Light" w:hAnsi="Segoe UI Light"/>
          <w:sz w:val="21"/>
        </w:rPr>
        <w:t>.</w:t>
      </w:r>
    </w:p>
    <w:p>
      <w:pPr>
        <w:spacing w:after="120"/>
      </w:pPr>
      <w:r>
        <w:rPr>
          <w:rFonts w:ascii="Segoe UI Light" w:hAnsi="Segoe UI Light"/>
          <w:sz w:val="21"/>
        </w:rPr>
        <w:t>The table shows changes from the model’s starting position. Negative changes in the two adverse categories are reductions.</w:t>
      </w:r>
    </w:p>
    <w:tbl>
      <w:tblPr>
        <w:tblStyle w:val="TableGrid"/>
        <w:tblLayout w:type="fixed"/>
        <w:tblLook w:firstColumn="1" w:firstRow="1" w:lastColumn="0" w:lastRow="0" w:noHBand="0" w:noVBand="1" w:val="04A0"/>
        <w:tblW w:w="5000" w:type="pct"/>
      </w:tblPr>
      <w:tblGrid>
        <w:gridCol w:w="3024"/>
        <w:gridCol w:w="3024"/>
        <w:gridCol w:w="3024"/>
      </w:tblGrid>
      <w:tr>
        <w:trPr>
          <w:tblHeader/>
          <w:cantSplit/>
        </w:trPr>
        <w:tc>
          <w:tcPr>
            <w:tcW w:type="dxa" w:w="3024"/>
            <w:shd w:fill="1E3A5F" w:val="clear"/>
            <w:vAlign w:val="center"/>
          </w:tcPr>
          <w:p>
            <w:pPr>
              <w:keepNext/>
              <w:spacing w:after="60" w:before="60"/>
              <w:jc w:val="left"/>
            </w:pPr>
            <w:r>
              <w:rPr>
                <w:rFonts w:ascii="Segoe UI Light" w:hAnsi="Segoe UI Light"/>
                <w:b/>
                <w:color w:val="FFFFFF"/>
                <w:sz w:val="18"/>
              </w:rPr>
              <w:t>Modelled outcome change</w:t>
            </w:r>
          </w:p>
        </w:tc>
        <w:tc>
          <w:tcPr>
            <w:tcW w:type="dxa" w:w="3024"/>
            <w:shd w:fill="1E3A5F" w:val="clear"/>
            <w:vAlign w:val="center"/>
          </w:tcPr>
          <w:p>
            <w:pPr>
              <w:keepNext/>
              <w:spacing w:after="60" w:before="60"/>
              <w:jc w:val="left"/>
            </w:pPr>
            <w:r>
              <w:rPr>
                <w:rFonts w:ascii="Segoe UI Light" w:hAnsi="Segoe UI Light"/>
                <w:b/>
                <w:color w:val="FFFFFF"/>
                <w:sz w:val="18"/>
              </w:rPr>
              <w:t>Package A</w:t>
            </w:r>
          </w:p>
        </w:tc>
        <w:tc>
          <w:tcPr>
            <w:tcW w:type="dxa" w:w="3024"/>
            <w:shd w:fill="1E3A5F" w:val="clear"/>
            <w:vAlign w:val="center"/>
          </w:tcPr>
          <w:p>
            <w:pPr>
              <w:keepNext/>
              <w:spacing w:after="60" w:before="60"/>
              <w:jc w:val="left"/>
            </w:pPr>
            <w:r>
              <w:rPr>
                <w:rFonts w:ascii="Segoe UI Light" w:hAnsi="Segoe UI Light"/>
                <w:b/>
                <w:color w:val="FFFFFF"/>
                <w:sz w:val="18"/>
              </w:rPr>
              <w:t>Package B</w:t>
            </w:r>
          </w:p>
        </w:tc>
      </w:tr>
      <w:tr>
        <w:trPr>
          <w:cantSplit/>
        </w:trPr>
        <w:tc>
          <w:tcPr>
            <w:tcW w:type="dxa" w:w="3024"/>
            <w:vAlign w:val="center"/>
          </w:tcPr>
          <w:p>
            <w:pPr>
              <w:keepNext/>
              <w:spacing w:after="60" w:before="60"/>
            </w:pPr>
            <w:r/>
            <w:r>
              <w:rPr>
                <w:rFonts w:ascii="Segoe UI Light" w:hAnsi="Segoe UI Light"/>
                <w:sz w:val="18"/>
              </w:rPr>
              <w:t xml:space="preserve">High </w:t>
            </w:r>
            <w:r>
              <w:rPr>
                <w:rFonts w:ascii="Segoe UI Light" w:hAnsi="Segoe UI Light"/>
                <w:b/>
                <w:sz w:val="18"/>
              </w:rPr>
              <w:t>Burnout</w:t>
            </w:r>
          </w:p>
        </w:tc>
        <w:tc>
          <w:tcPr>
            <w:tcW w:type="dxa" w:w="3024"/>
            <w:vAlign w:val="center"/>
          </w:tcPr>
          <w:p>
            <w:pPr>
              <w:keepNext/>
              <w:spacing w:after="60" w:before="60"/>
            </w:pPr>
            <w:r/>
            <w:r>
              <w:rPr>
                <w:rFonts w:ascii="Segoe UI Light" w:hAnsi="Segoe UI Light"/>
                <w:sz w:val="18"/>
              </w:rPr>
              <w:t>−20.5 percentage points</w:t>
            </w:r>
          </w:p>
        </w:tc>
        <w:tc>
          <w:tcPr>
            <w:tcW w:type="dxa" w:w="3024"/>
            <w:vAlign w:val="center"/>
          </w:tcPr>
          <w:p>
            <w:pPr>
              <w:keepNext/>
              <w:spacing w:after="60" w:before="60"/>
            </w:pPr>
            <w:r/>
            <w:r>
              <w:rPr>
                <w:rFonts w:ascii="Segoe UI Light" w:hAnsi="Segoe UI Light"/>
                <w:sz w:val="18"/>
              </w:rPr>
              <w:t>−19.6 percentage points</w:t>
            </w:r>
          </w:p>
        </w:tc>
      </w:tr>
      <w:tr>
        <w:trPr>
          <w:cantSplit/>
        </w:trPr>
        <w:tc>
          <w:tcPr>
            <w:tcW w:type="dxa" w:w="3024"/>
            <w:shd w:fill="F1F5F9" w:val="clear"/>
            <w:vAlign w:val="center"/>
          </w:tcPr>
          <w:p>
            <w:pPr>
              <w:keepNext/>
              <w:spacing w:after="60" w:before="60"/>
            </w:pPr>
            <w:r/>
            <w:r>
              <w:rPr>
                <w:rFonts w:ascii="Segoe UI Light" w:hAnsi="Segoe UI Light"/>
                <w:sz w:val="18"/>
              </w:rPr>
              <w:t xml:space="preserve">High </w:t>
            </w:r>
            <w:r>
              <w:rPr>
                <w:rFonts w:ascii="Segoe UI Light" w:hAnsi="Segoe UI Light"/>
                <w:b/>
                <w:sz w:val="18"/>
              </w:rPr>
              <w:t>Psych Distress</w:t>
            </w:r>
          </w:p>
        </w:tc>
        <w:tc>
          <w:tcPr>
            <w:tcW w:type="dxa" w:w="3024"/>
            <w:shd w:fill="F1F5F9" w:val="clear"/>
            <w:vAlign w:val="center"/>
          </w:tcPr>
          <w:p>
            <w:pPr>
              <w:keepNext/>
              <w:spacing w:after="60" w:before="60"/>
            </w:pPr>
            <w:r/>
            <w:r>
              <w:rPr>
                <w:rFonts w:ascii="Segoe UI Light" w:hAnsi="Segoe UI Light"/>
                <w:sz w:val="18"/>
              </w:rPr>
              <w:t>−11.8 percentage points</w:t>
            </w:r>
          </w:p>
        </w:tc>
        <w:tc>
          <w:tcPr>
            <w:tcW w:type="dxa" w:w="3024"/>
            <w:shd w:fill="F1F5F9" w:val="clear"/>
            <w:vAlign w:val="center"/>
          </w:tcPr>
          <w:p>
            <w:pPr>
              <w:keepNext/>
              <w:spacing w:after="60" w:before="60"/>
            </w:pPr>
            <w:r/>
            <w:r>
              <w:rPr>
                <w:rFonts w:ascii="Segoe UI Light" w:hAnsi="Segoe UI Light"/>
                <w:sz w:val="18"/>
              </w:rPr>
              <w:t>−9.6 percentage points</w:t>
            </w:r>
          </w:p>
        </w:tc>
      </w:tr>
      <w:tr>
        <w:trPr>
          <w:cantSplit/>
        </w:trPr>
        <w:tc>
          <w:tcPr>
            <w:tcW w:type="dxa" w:w="3024"/>
            <w:vAlign w:val="center"/>
          </w:tcPr>
          <w:p>
            <w:pPr>
              <w:keepNext w:val="0"/>
              <w:spacing w:after="60" w:before="60"/>
            </w:pPr>
            <w:r/>
            <w:r>
              <w:rPr>
                <w:rFonts w:ascii="Segoe UI Light" w:hAnsi="Segoe UI Light"/>
                <w:sz w:val="18"/>
              </w:rPr>
              <w:t xml:space="preserve">High </w:t>
            </w:r>
            <w:r>
              <w:rPr>
                <w:rFonts w:ascii="Segoe UI Light" w:hAnsi="Segoe UI Light"/>
                <w:b/>
                <w:sz w:val="18"/>
              </w:rPr>
              <w:t>Work Engagement</w:t>
            </w:r>
          </w:p>
        </w:tc>
        <w:tc>
          <w:tcPr>
            <w:tcW w:type="dxa" w:w="3024"/>
            <w:vAlign w:val="center"/>
          </w:tcPr>
          <w:p>
            <w:pPr>
              <w:keepNext w:val="0"/>
              <w:spacing w:after="60" w:before="60"/>
            </w:pPr>
            <w:r/>
            <w:r>
              <w:rPr>
                <w:rFonts w:ascii="Segoe UI Light" w:hAnsi="Segoe UI Light"/>
                <w:sz w:val="18"/>
              </w:rPr>
              <w:t>+14.9 percentage points</w:t>
            </w:r>
          </w:p>
        </w:tc>
        <w:tc>
          <w:tcPr>
            <w:tcW w:type="dxa" w:w="3024"/>
            <w:vAlign w:val="center"/>
          </w:tcPr>
          <w:p>
            <w:pPr>
              <w:keepNext w:val="0"/>
              <w:spacing w:after="60" w:before="60"/>
            </w:pPr>
            <w:r/>
            <w:r>
              <w:rPr>
                <w:rFonts w:ascii="Segoe UI Light" w:hAnsi="Segoe UI Light"/>
                <w:sz w:val="18"/>
              </w:rPr>
              <w:t>+21.5 percentage points</w:t>
            </w:r>
          </w:p>
        </w:tc>
      </w:tr>
    </w:tbl>
    <w:p>
      <w:pPr>
        <w:spacing w:after="0"/>
      </w:pPr>
    </w:p>
    <w:p>
      <w:pPr>
        <w:spacing w:after="120"/>
      </w:pPr>
      <w:r>
        <w:rPr>
          <w:rFonts w:ascii="Segoe UI Light" w:hAnsi="Segoe UI Light"/>
          <w:sz w:val="21"/>
        </w:rPr>
        <w:t xml:space="preserve">Package A places greater emphasis on reducing adverse outcomes, particularly high </w:t>
      </w:r>
      <w:r>
        <w:rPr>
          <w:rFonts w:ascii="Segoe UI Light" w:hAnsi="Segoe UI Light"/>
          <w:b/>
          <w:sz w:val="21"/>
        </w:rPr>
        <w:t>Psych Distress</w:t>
      </w:r>
      <w:r>
        <w:rPr>
          <w:rFonts w:ascii="Segoe UI Light" w:hAnsi="Segoe UI Light"/>
          <w:sz w:val="21"/>
        </w:rPr>
        <w:t>. Package B produces the larger engagement gain. This comparison helps frame a decision, but local exposure, urgency, feasibility and resources should determine the actual package.</w:t>
      </w:r>
    </w:p>
    <w:p>
      <w:pPr>
        <w:spacing w:after="120"/>
      </w:pPr>
      <w:r>
        <w:rPr>
          <w:rFonts w:ascii="Segoe UI Light" w:hAnsi="Segoe UI Light"/>
          <w:sz w:val="21"/>
        </w:rPr>
        <w:t xml:space="preserve">The supplied joint verdicts concern gains in high </w:t>
      </w:r>
      <w:r>
        <w:rPr>
          <w:rFonts w:ascii="Segoe UI Light" w:hAnsi="Segoe UI Light"/>
          <w:b/>
          <w:sz w:val="21"/>
        </w:rPr>
        <w:t>Work Engagement</w:t>
      </w:r>
      <w:r>
        <w:rPr>
          <w:rFonts w:ascii="Segoe UI Light" w:hAnsi="Segoe UI Light"/>
          <w:sz w:val="21"/>
        </w:rPr>
        <w:t xml:space="preserve">, low </w:t>
      </w:r>
      <w:r>
        <w:rPr>
          <w:rFonts w:ascii="Segoe UI Light" w:hAnsi="Segoe UI Light"/>
          <w:b/>
          <w:sz w:val="21"/>
        </w:rPr>
        <w:t>Burnout</w:t>
      </w:r>
      <w:r>
        <w:rPr>
          <w:rFonts w:ascii="Segoe UI Light" w:hAnsi="Segoe UI Light"/>
          <w:sz w:val="21"/>
        </w:rPr>
        <w:t xml:space="preserve"> and low </w:t>
      </w:r>
      <w:r>
        <w:rPr>
          <w:rFonts w:ascii="Segoe UI Light" w:hAnsi="Segoe UI Light"/>
          <w:b/>
          <w:sz w:val="21"/>
        </w:rPr>
        <w:t>Psych Distress</w:t>
      </w:r>
      <w:r>
        <w:rPr>
          <w:rFonts w:ascii="Segoe UI Light" w:hAnsi="Segoe UI Light"/>
          <w:sz w:val="21"/>
        </w:rPr>
        <w:t xml:space="preserve">. For Package A, the combined gains are smaller than the sum of separate gains across all three outcomes. For Package B, combined and separate gains are close for engagement and low </w:t>
      </w:r>
      <w:r>
        <w:rPr>
          <w:rFonts w:ascii="Segoe UI Light" w:hAnsi="Segoe UI Light"/>
          <w:b/>
          <w:sz w:val="21"/>
        </w:rPr>
        <w:t>Burnout</w:t>
      </w:r>
      <w:r>
        <w:rPr>
          <w:rFonts w:ascii="Segoe UI Light" w:hAnsi="Segoe UI Light"/>
          <w:sz w:val="21"/>
        </w:rPr>
        <w:t xml:space="preserve">; the low </w:t>
      </w:r>
      <w:r>
        <w:rPr>
          <w:rFonts w:ascii="Segoe UI Light" w:hAnsi="Segoe UI Light"/>
          <w:b/>
          <w:sz w:val="21"/>
        </w:rPr>
        <w:t>Psych Distress</w:t>
      </w:r>
      <w:r>
        <w:rPr>
          <w:rFonts w:ascii="Segoe UI Light" w:hAnsi="Segoe UI Light"/>
          <w:sz w:val="21"/>
        </w:rPr>
        <w:t xml:space="preserve"> comparison cannot consistently distinguish them across the two comparison scales. The joint figures should therefore be used directly, rather than adding separate benefits or claiming that the measures reinforce one another.</w:t>
      </w:r>
    </w:p>
    <w:p>
      <w:bookmarkStart w:id="10" w:name="_PWToc10"/>
      <w:pPr>
        <w:pStyle w:val="Heading1"/>
      </w:pPr>
      <w:r>
        <w:rPr>
          <w:rFonts w:ascii="Segoe UI Light" w:hAnsi="Segoe UI Light"/>
          <w:b/>
          <w:color w:val="1E3A5F"/>
          <w:sz w:val="28"/>
        </w:rPr>
        <w:t>Recommended Next Steps</w:t>
      </w:r>
      <w:bookmarkEnd w:id="10"/>
    </w:p>
    <w:p>
      <w:bookmarkStart w:id="11" w:name="_PWToc11"/>
      <w:pPr>
        <w:pStyle w:val="Heading2"/>
      </w:pPr>
      <w:r>
        <w:rPr>
          <w:rFonts w:ascii="Segoe UI Light" w:hAnsi="Segoe UI Light"/>
          <w:b/>
          <w:color w:val="2D5A8E"/>
          <w:sz w:val="22"/>
        </w:rPr>
        <w:t>1. Establish local priorities and decision authority</w:t>
      </w:r>
      <w:bookmarkEnd w:id="11"/>
    </w:p>
    <w:p>
      <w:pPr>
        <w:spacing w:after="120"/>
      </w:pPr>
      <w:r>
        <w:rPr>
          <w:rFonts w:ascii="Segoe UI Light" w:hAnsi="Segoe UI Light"/>
          <w:sz w:val="21"/>
        </w:rPr>
        <w:t>Senior leaders should nominate an accountable sponsor, supported by operational decision-makers, relevant people and safety functions, and worker representatives. This is a proposed governance arrangement, not a description of existing roles.</w:t>
      </w:r>
    </w:p>
    <w:p>
      <w:pPr>
        <w:spacing w:after="120"/>
      </w:pPr>
      <w:r>
        <w:rPr>
          <w:rFonts w:ascii="Segoe UI Light" w:hAnsi="Segoe UI Light"/>
          <w:sz w:val="21"/>
        </w:rPr>
        <w:t>The first task should be a local assessment covering the five focus factors and all three outcomes. No local baseline is supplied. The assessment should establish:</w:t>
      </w:r>
    </w:p>
    <w:p>
      <w:pPr>
        <w:pStyle w:val="ListBullet"/>
        <w:spacing w:after="60"/>
      </w:pPr>
      <w:r>
        <w:rPr>
          <w:rFonts w:ascii="Segoe UI Light" w:hAnsi="Segoe UI Light"/>
          <w:sz w:val="21"/>
        </w:rPr>
        <w:t>where excessive workload, work-home interference or emotionally demanding work occurs;</w:t>
      </w:r>
    </w:p>
    <w:p>
      <w:pPr>
        <w:pStyle w:val="ListBullet"/>
        <w:spacing w:after="60"/>
      </w:pPr>
      <w:r>
        <w:rPr>
          <w:rFonts w:ascii="Segoe UI Light" w:hAnsi="Segoe UI Light"/>
          <w:sz w:val="21"/>
        </w:rPr>
        <w:t>which workers or work activities face sustained exposure;</w:t>
      </w:r>
    </w:p>
    <w:p>
      <w:pPr>
        <w:pStyle w:val="ListBullet"/>
        <w:spacing w:after="60"/>
      </w:pPr>
      <w:r>
        <w:rPr>
          <w:rFonts w:ascii="Segoe UI Light" w:hAnsi="Segoe UI Light"/>
          <w:sz w:val="21"/>
        </w:rPr>
        <w:t>what supports, purposeful tasks and recognition practices should be retained;</w:t>
      </w:r>
    </w:p>
    <w:p>
      <w:pPr>
        <w:pStyle w:val="ListBullet"/>
        <w:spacing w:after="60"/>
      </w:pPr>
      <w:r>
        <w:rPr>
          <w:rFonts w:ascii="Segoe UI Light" w:hAnsi="Segoe UI Light"/>
          <w:sz w:val="21"/>
        </w:rPr>
        <w:t>what changes are already underway and what resources or authority they require.</w:t>
      </w:r>
    </w:p>
    <w:p>
      <w:pPr>
        <w:spacing w:after="120"/>
      </w:pPr>
      <w:r>
        <w:rPr>
          <w:rFonts w:ascii="Segoe UI Light" w:hAnsi="Segoe UI Light"/>
          <w:sz w:val="21"/>
        </w:rPr>
        <w:t>A confidential worker assessment can be combined with consultation and available records, such as hours worked, schedule changes, workload allocation and access to leave. Questions and category definitions should be documented so later results can be compared consistently. Results should be reported in groups large enough to protect confidentiality.</w:t>
      </w:r>
    </w:p>
    <w:p>
      <w:pPr>
        <w:spacing w:after="120"/>
      </w:pPr>
      <w:r>
        <w:rPr>
          <w:rFonts w:ascii="Segoe UI Light" w:hAnsi="Segoe UI Light"/>
          <w:sz w:val="21"/>
        </w:rPr>
        <w:t>This assessment should determine whether the first investment belongs in workload capacity, scheduling, emotionally demanding work, or a combination. It should not delay action on harmful conditions already established through other local evidence.</w:t>
      </w:r>
    </w:p>
    <w:p>
      <w:bookmarkStart w:id="12" w:name="_PWToc12"/>
      <w:pPr>
        <w:pStyle w:val="Heading2"/>
      </w:pPr>
      <w:r>
        <w:rPr>
          <w:rFonts w:ascii="Segoe UI Light" w:hAnsi="Segoe UI Light"/>
          <w:b/>
          <w:color w:val="2D5A8E"/>
          <w:sz w:val="22"/>
        </w:rPr>
        <w:t>2. Protect workers promptly where harm is established</w:t>
      </w:r>
      <w:bookmarkEnd w:id="12"/>
    </w:p>
    <w:p>
      <w:pPr>
        <w:spacing w:after="120"/>
      </w:pPr>
      <w:r>
        <w:rPr>
          <w:rFonts w:ascii="Segoe UI Light" w:hAnsi="Segoe UI Light"/>
          <w:sz w:val="21"/>
        </w:rPr>
        <w:t>Operational leaders should respond promptly to confirmed unmanageable demands while longer-term changes are developed. Depending on the local evidence, suggested interim measures include:</w:t>
      </w:r>
    </w:p>
    <w:p>
      <w:pPr>
        <w:pStyle w:val="ListBullet"/>
        <w:spacing w:after="60"/>
      </w:pPr>
      <w:r>
        <w:rPr>
          <w:rFonts w:ascii="Segoe UI Light" w:hAnsi="Segoe UI Light"/>
          <w:sz w:val="21"/>
        </w:rPr>
        <w:t>stopping or deferring lower-priority work, clarifying what must be completed and adjusting deadlines;</w:t>
      </w:r>
    </w:p>
    <w:p>
      <w:pPr>
        <w:pStyle w:val="ListBullet"/>
        <w:spacing w:after="60"/>
      </w:pPr>
      <w:r>
        <w:rPr>
          <w:rFonts w:ascii="Segoe UI Light" w:hAnsi="Segoe UI Light"/>
          <w:sz w:val="21"/>
        </w:rPr>
        <w:t>arranging suitable coverage where essential work exceeds available capacity;</w:t>
      </w:r>
    </w:p>
    <w:p>
      <w:pPr>
        <w:pStyle w:val="ListBullet"/>
        <w:spacing w:after="60"/>
      </w:pPr>
      <w:r>
        <w:rPr>
          <w:rFonts w:ascii="Segoe UI Light" w:hAnsi="Segoe UI Light"/>
          <w:sz w:val="21"/>
        </w:rPr>
        <w:t>reducing avoidable last-minute scheduling changes and clarifying after-hours expectations;</w:t>
      </w:r>
    </w:p>
    <w:p>
      <w:pPr>
        <w:pStyle w:val="ListBullet"/>
        <w:spacing w:after="60"/>
      </w:pPr>
      <w:r>
        <w:rPr>
          <w:rFonts w:ascii="Segoe UI Light" w:hAnsi="Segoe UI Light"/>
          <w:sz w:val="21"/>
        </w:rPr>
        <w:t>providing practical escalation and recovery arrangements following demanding interactions.</w:t>
      </w:r>
    </w:p>
    <w:p>
      <w:pPr>
        <w:spacing w:after="120"/>
      </w:pPr>
      <w:r>
        <w:rPr>
          <w:rFonts w:ascii="Segoe UI Light" w:hAnsi="Segoe UI Light"/>
          <w:sz w:val="21"/>
        </w:rPr>
        <w:t>Each measure needs an owner with authority to act. Where staffing, service commitments or budgets prevent a local solution, the issue should be escalated to the senior sponsor.</w:t>
      </w:r>
    </w:p>
    <w:p>
      <w:pPr>
        <w:spacing w:after="120"/>
      </w:pPr>
      <w:r>
        <w:rPr>
          <w:rFonts w:ascii="Segoe UI Light" w:hAnsi="Segoe UI Light"/>
          <w:sz w:val="21"/>
        </w:rPr>
        <w:t>Before implementation, check where displaced work will go. A reduction for one team may create overload elsewhere, and removing meetings, handovers or experienced cover may remove useful support. Workers should be asked whether the proposed change would genuinely reduce pressure or merely move it. The answer should shape the control before wider use.</w:t>
      </w:r>
    </w:p>
    <w:p>
      <w:bookmarkStart w:id="13" w:name="_PWToc13"/>
      <w:pPr>
        <w:pStyle w:val="Heading2"/>
      </w:pPr>
      <w:r>
        <w:rPr>
          <w:rFonts w:ascii="Segoe UI Light" w:hAnsi="Segoe UI Light"/>
          <w:b/>
          <w:color w:val="2D5A8E"/>
          <w:sz w:val="22"/>
        </w:rPr>
        <w:t>3. Build longer-term improvements around workers’ experience</w:t>
      </w:r>
      <w:bookmarkEnd w:id="13"/>
    </w:p>
    <w:p>
      <w:pPr>
        <w:spacing w:after="120"/>
      </w:pPr>
      <w:r>
        <w:rPr>
          <w:rFonts w:ascii="Segoe UI Light" w:hAnsi="Segoe UI Light"/>
          <w:sz w:val="21"/>
        </w:rPr>
        <w:t>Consultation should lead to specific work-design decisions, not only a list of concerns.</w:t>
      </w:r>
    </w:p>
    <w:p>
      <w:pPr>
        <w:spacing w:after="120"/>
      </w:pPr>
      <w:r>
        <w:rPr>
          <w:rFonts w:ascii="Segoe UI Light" w:hAnsi="Segoe UI Light"/>
          <w:sz w:val="21"/>
        </w:rPr>
        <w:t xml:space="preserve">For </w:t>
      </w:r>
      <w:r>
        <w:rPr>
          <w:rFonts w:ascii="Segoe UI Light" w:hAnsi="Segoe UI Light"/>
          <w:b/>
          <w:sz w:val="21"/>
        </w:rPr>
        <w:t>Role Overload</w:t>
      </w:r>
      <w:r>
        <w:rPr>
          <w:rFonts w:ascii="Segoe UI Light" w:hAnsi="Segoe UI Light"/>
          <w:sz w:val="21"/>
        </w:rPr>
        <w:t xml:space="preserve"> and </w:t>
      </w:r>
      <w:r>
        <w:rPr>
          <w:rFonts w:ascii="Segoe UI Light" w:hAnsi="Segoe UI Light"/>
          <w:b/>
          <w:sz w:val="21"/>
        </w:rPr>
        <w:t>Work Life Conflict</w:t>
      </w:r>
      <w:r>
        <w:rPr>
          <w:rFonts w:ascii="Segoe UI Light" w:hAnsi="Segoe UI Light"/>
          <w:sz w:val="21"/>
        </w:rPr>
        <w:t>, workers and managers should identify the recurring mismatch between required work, available time and work schedules. If unnecessary tasks are driving pressure, redesign or remove them. If essential demand exceeds capacity, leaders need to decide whether to change resources, deadlines or service expectations. If unpredictability is the main issue, focus on scheduling and notice arrangements.</w:t>
      </w:r>
    </w:p>
    <w:p>
      <w:pPr>
        <w:spacing w:after="120"/>
      </w:pPr>
      <w:r>
        <w:rPr>
          <w:rFonts w:ascii="Segoe UI Light" w:hAnsi="Segoe UI Light"/>
          <w:sz w:val="21"/>
        </w:rPr>
        <w:t xml:space="preserve">For </w:t>
      </w:r>
      <w:r>
        <w:rPr>
          <w:rFonts w:ascii="Segoe UI Light" w:hAnsi="Segoe UI Light"/>
          <w:b/>
          <w:sz w:val="21"/>
        </w:rPr>
        <w:t>Emotional Demand</w:t>
      </w:r>
      <w:r>
        <w:rPr>
          <w:rFonts w:ascii="Segoe UI Light" w:hAnsi="Segoe UI Light"/>
          <w:sz w:val="21"/>
        </w:rPr>
        <w:t>, consultation should establish which interactions require preparation, backup or recovery time. Any proposed redistribution of demanding work should be checked for its effect on other workers and on the availability of experienced support.</w:t>
      </w:r>
    </w:p>
    <w:p>
      <w:pPr>
        <w:spacing w:after="120"/>
      </w:pPr>
      <w:r>
        <w:rPr>
          <w:rFonts w:ascii="Segoe UI Light" w:hAnsi="Segoe UI Light"/>
          <w:sz w:val="21"/>
        </w:rPr>
        <w:t xml:space="preserve">For </w:t>
      </w:r>
      <w:r>
        <w:rPr>
          <w:rFonts w:ascii="Segoe UI Light" w:hAnsi="Segoe UI Light"/>
          <w:b/>
          <w:sz w:val="21"/>
        </w:rPr>
        <w:t>Meaningful Work</w:t>
      </w:r>
      <w:r>
        <w:rPr>
          <w:rFonts w:ascii="Segoe UI Light" w:hAnsi="Segoe UI Light"/>
          <w:sz w:val="21"/>
        </w:rPr>
        <w:t>, workers should identify the tasks that make a useful contribution and the processes that obstruct them. Suggested changes include protecting time for core work and explaining how work contributes to valued outcomes. These changes should not add responsibilities without capacity.</w:t>
      </w:r>
    </w:p>
    <w:p>
      <w:pPr>
        <w:spacing w:after="120"/>
      </w:pPr>
      <w:r>
        <w:rPr>
          <w:rFonts w:ascii="Segoe UI Light" w:hAnsi="Segoe UI Light"/>
          <w:sz w:val="21"/>
        </w:rPr>
        <w:t xml:space="preserve">For </w:t>
      </w:r>
      <w:r>
        <w:rPr>
          <w:rFonts w:ascii="Segoe UI Light" w:hAnsi="Segoe UI Light"/>
          <w:b/>
          <w:sz w:val="21"/>
        </w:rPr>
        <w:t>Recognition</w:t>
      </w:r>
      <w:r>
        <w:rPr>
          <w:rFonts w:ascii="Segoe UI Light" w:hAnsi="Segoe UI Light"/>
          <w:sz w:val="21"/>
        </w:rPr>
        <w:t>, establish whether workers need better feedback, more consistent acknowledgement, or changes to how pay and opportunities are decided. Managers may be able to improve everyday feedback, while broader fairness concerns may require senior decisions.</w:t>
      </w:r>
    </w:p>
    <w:p>
      <w:pPr>
        <w:spacing w:after="120"/>
      </w:pPr>
      <w:r>
        <w:rPr>
          <w:rFonts w:ascii="Segoe UI Light" w:hAnsi="Segoe UI Light"/>
          <w:sz w:val="21"/>
        </w:rPr>
        <w:t>These actions can form one coordinated improvement plan. Recognition and purpose should be built into workload redesign rather than treated as separate campaigns that add meetings or administrative work.</w:t>
      </w:r>
    </w:p>
    <w:p>
      <w:bookmarkStart w:id="14" w:name="_PWToc14"/>
      <w:pPr>
        <w:pStyle w:val="Heading2"/>
      </w:pPr>
      <w:r>
        <w:rPr>
          <w:rFonts w:ascii="Segoe UI Light" w:hAnsi="Segoe UI Light"/>
          <w:b/>
          <w:color w:val="2D5A8E"/>
          <w:sz w:val="22"/>
        </w:rPr>
        <w:t>4. Record the baseline, test changes and review progress</w:t>
      </w:r>
      <w:bookmarkEnd w:id="14"/>
    </w:p>
    <w:p>
      <w:pPr>
        <w:spacing w:after="120"/>
      </w:pPr>
      <w:r>
        <w:rPr>
          <w:rFonts w:ascii="Segoe UI Light" w:hAnsi="Segoe UI Light"/>
          <w:sz w:val="21"/>
        </w:rPr>
        <w:t>The first local assessment should become the recorded baseline for follow-up. It should not be replaced by the model’s starting percentages.</w:t>
      </w:r>
    </w:p>
    <w:p>
      <w:pPr>
        <w:spacing w:after="120"/>
      </w:pPr>
      <w:r>
        <w:rPr>
          <w:rFonts w:ascii="Segoe UI Light" w:hAnsi="Segoe UI Light"/>
          <w:sz w:val="21"/>
        </w:rPr>
        <w:t>A suggested approach is to test a manageable package in selected work areas, with agreed owners, resources and review dates. Where urgent protections are introduced, implementation should be checked promptly. A first broader review could occur after six to twelve weeks, adjusted to the type of change and work cycle.</w:t>
      </w:r>
    </w:p>
    <w:p>
      <w:pPr>
        <w:spacing w:after="120"/>
      </w:pPr>
      <w:r>
        <w:rPr>
          <w:rFonts w:ascii="Segoe UI Light" w:hAnsi="Segoe UI Light"/>
          <w:sz w:val="21"/>
        </w:rPr>
        <w:t>Progress checks should cover:</w:t>
      </w:r>
    </w:p>
    <w:p>
      <w:pPr>
        <w:pStyle w:val="ListBullet"/>
        <w:spacing w:after="60"/>
      </w:pPr>
      <w:r>
        <w:rPr>
          <w:rFonts w:ascii="Segoe UI Light" w:hAnsi="Segoe UI Light"/>
          <w:sz w:val="21"/>
        </w:rPr>
        <w:t>whether the agreed work arrangements were implemented;</w:t>
      </w:r>
    </w:p>
    <w:p>
      <w:pPr>
        <w:pStyle w:val="ListBullet"/>
        <w:spacing w:after="60"/>
      </w:pPr>
      <w:r>
        <w:rPr>
          <w:rFonts w:ascii="Segoe UI Light" w:hAnsi="Segoe UI Light"/>
          <w:sz w:val="21"/>
        </w:rPr>
        <w:t>whether workers report less excessive workload, work-home interference or emotional strain;</w:t>
      </w:r>
    </w:p>
    <w:p>
      <w:pPr>
        <w:pStyle w:val="ListBullet"/>
        <w:spacing w:after="60"/>
      </w:pPr>
      <w:r>
        <w:rPr>
          <w:rFonts w:ascii="Segoe UI Light" w:hAnsi="Segoe UI Light"/>
          <w:sz w:val="21"/>
        </w:rPr>
        <w:t>whether purpose, acknowledgement and existing supports were maintained;</w:t>
      </w:r>
    </w:p>
    <w:p>
      <w:pPr>
        <w:pStyle w:val="ListBullet"/>
        <w:spacing w:after="60"/>
      </w:pPr>
      <w:r>
        <w:rPr>
          <w:rFonts w:ascii="Segoe UI Light" w:hAnsi="Segoe UI Light"/>
          <w:sz w:val="21"/>
        </w:rPr>
        <w:t xml:space="preserve">whether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decline and high </w:t>
      </w:r>
      <w:r>
        <w:rPr>
          <w:rFonts w:ascii="Segoe UI Light" w:hAnsi="Segoe UI Light"/>
          <w:b/>
          <w:sz w:val="21"/>
        </w:rPr>
        <w:t>Work Engagement</w:t>
      </w:r>
      <w:r>
        <w:rPr>
          <w:rFonts w:ascii="Segoe UI Light" w:hAnsi="Segoe UI Light"/>
          <w:sz w:val="21"/>
        </w:rPr>
        <w:t xml:space="preserve"> improves;</w:t>
      </w:r>
    </w:p>
    <w:p>
      <w:pPr>
        <w:pStyle w:val="ListBullet"/>
        <w:spacing w:after="60"/>
      </w:pPr>
      <w:r>
        <w:rPr>
          <w:rFonts w:ascii="Segoe UI Light" w:hAnsi="Segoe UI Light"/>
          <w:sz w:val="21"/>
        </w:rPr>
        <w:t>whether work, costs or pressure have shifted elsewhere.</w:t>
      </w:r>
    </w:p>
    <w:p>
      <w:pPr>
        <w:spacing w:after="120"/>
      </w:pPr>
      <w:r>
        <w:rPr>
          <w:rFonts w:ascii="Segoe UI Light" w:hAnsi="Segoe UI Light"/>
          <w:sz w:val="21"/>
        </w:rPr>
        <w:t>Follow-up pulse results should retain their recorded local baseline and use comparable questions and worker coverage. A difference over time can guide review, but does not by itself establish that the intervention caused it. Leaders should use worker feedback and implementation evidence to decide whether to continue, adapt or expand the changes.</w:t>
      </w:r>
    </w:p>
    <w:p>
      <w:pPr>
        <w:sectPr>
          <w:footerReference w:type="default" r:id="rId10"/>
          <w:pgSz w:w="11906" w:h="16838"/>
          <w:pgMar w:top="1417" w:right="1417" w:bottom="1417" w:left="1417" w:header="720" w:footer="720" w:gutter="0"/>
          <w:cols w:space="720"/>
          <w:docGrid w:linePitch="360"/>
        </w:sectPr>
      </w:pPr>
    </w:p>
    <w:p>
      <w:bookmarkStart w:id="15" w:name="_PWToc15"/>
      <w:pPr>
        <w:pStyle w:val="Heading1"/>
      </w:pPr>
      <w:r>
        <w:rPr>
          <w:rFonts w:ascii="Segoe UI Light" w:hAnsi="Segoe UI Light"/>
          <w:b/>
          <w:color w:val="1E3A5F"/>
          <w:sz w:val="28"/>
        </w:rPr>
        <w:t>Appendix – Supporting Material</w:t>
      </w:r>
      <w:bookmarkEnd w:id="15"/>
    </w:p>
    <w:p>
      <w:bookmarkStart w:id="16" w:name="_PWToc16"/>
      <w:pPr>
        <w:pStyle w:val="Heading2"/>
      </w:pPr>
      <w:r>
        <w:rPr>
          <w:rFonts w:ascii="Segoe UI Light" w:hAnsi="Segoe UI Light"/>
          <w:b/>
          <w:color w:val="2D5A8E"/>
          <w:sz w:val="22"/>
        </w:rPr>
        <w:t>A1 – How the Factors Connect</w:t>
      </w:r>
      <w:bookmarkEnd w:id="16"/>
    </w:p>
    <w:p>
      <w:pPr>
        <w:spacing w:after="160"/>
      </w:pPr>
      <w:r>
        <w:rPr>
          <w:rFonts w:ascii="Segoe UI Light" w:hAnsi="Segoe UI Light"/>
          <w:color w:val="64748B"/>
          <w:sz w:val="20"/>
        </w:rPr>
        <w:t>This overview includes every modelled factor and connection. Connections show analytical assumptions, not established causes or relationship strength. Read it alongside the source note below.</w:t>
      </w:r>
    </w:p>
    <w:p>
      <w:pPr>
        <w:keepNext/>
        <w:spacing w:after="80"/>
      </w:pPr>
      <w:r>
        <w:rPr>
          <w:rFonts w:ascii="Segoe UI Light" w:hAnsi="Segoe UI Light"/>
          <w:i/>
          <w:color w:val="334155"/>
          <w:sz w:val="18"/>
        </w:rPr>
        <w:t>Complete model snapshot. Double blue borders identify outcomes; amber borders identify the selected report priorities. All recorded connections are shown. Positions and line widths do not rank importance. Connections show the direction used in the analysis, not proof of causation.</w:t>
      </w:r>
    </w:p>
    <w:p>
      <w:pPr>
        <w:jc w:val="center"/>
      </w:pPr>
      <w:r>
        <w:drawing>
          <wp:inline xmlns:a="http://schemas.openxmlformats.org/drawingml/2006/main" xmlns:pic="http://schemas.openxmlformats.org/drawingml/2006/picture">
            <wp:extent cx="5244309" cy="5760000"/>
            <wp:docPr id="1" name="Picture 1" descr="Role Overload (report priority); Cognitive Demand; Emotional Demand (report priority); Role Ambiguity; Role Conflict; Work Life Conflict (report priority); Job Insecurity; Job Control; Supervisor Support; Coworker Support; Recognition (report priority); Procedural Justice; Change Consultation; Workplace Relationships; Development Growth; Meaningful Work (report priority); Psychological Safety; Work Engagement (outcome); Burnout (outcome); Psych Distress (outcome)"/>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244309" cy="5760000"/>
                    </a:xfrm>
                    <a:prstGeom prst="rect"/>
                  </pic:spPr>
                </pic:pic>
              </a:graphicData>
            </a:graphic>
          </wp:inline>
        </w:drawing>
      </w:r>
    </w:p>
    <w:p>
      <w:bookmarkStart w:id="17" w:name="_PWToc17"/>
      <w:pPr>
        <w:pStyle w:val="Heading2"/>
        <w:pageBreakBefore/>
      </w:pPr>
      <w:r>
        <w:rPr>
          <w:rFonts w:ascii="Segoe UI Light" w:hAnsi="Segoe UI Light"/>
          <w:b/>
          <w:color w:val="2D5A8E"/>
          <w:sz w:val="22"/>
        </w:rPr>
        <w:t>A2 – Starting Model Estimates</w:t>
      </w:r>
      <w:bookmarkEnd w:id="17"/>
    </w:p>
    <w:p>
      <w:pPr>
        <w:spacing w:after="160"/>
      </w:pPr>
      <w:r>
        <w:rPr>
          <w:rFonts w:ascii="Segoe UI Light" w:hAnsi="Segoe UI Light"/>
          <w:color w:val="64748B"/>
          <w:sz w:val="20"/>
        </w:rPr>
        <w:t>Starting probabilities from the report model, before a scenario is applied. These are model estimates, not raw response counts. State labels and any recorded direction are shown for each factor. Not applicable means the factor does not use that state; unavailable means its probability was not supplied.</w:t>
      </w:r>
    </w:p>
    <w:tbl>
      <w:tblPr>
        <w:tblStyle w:val="TableGrid"/>
        <w:tblLayout w:type="fixed"/>
        <w:tblLook w:firstColumn="1" w:firstRow="1" w:lastColumn="0" w:lastRow="0" w:noHBand="0" w:noVBand="1" w:val="04A0"/>
        <w:tblW w:w="5000" w:type="pct"/>
      </w:tblPr>
      <w:tblGrid>
        <w:gridCol w:w="2811"/>
        <w:gridCol w:w="1606"/>
        <w:gridCol w:w="1606"/>
        <w:gridCol w:w="1606"/>
        <w:gridCol w:w="2008"/>
      </w:tblGrid>
      <w:tr>
        <w:trPr>
          <w:tblHeader/>
          <w:cantSplit/>
        </w:trPr>
        <w:tc>
          <w:tcPr>
            <w:tcW w:type="dxa" w:w="2811"/>
            <w:shd w:fill="1E3A5F" w:val="clear"/>
            <w:vAlign w:val="center"/>
          </w:tcPr>
          <w:p>
            <w:pPr>
              <w:keepNext/>
              <w:spacing w:after="60" w:before="60"/>
              <w:jc w:val="left"/>
            </w:pPr>
            <w:r>
              <w:rPr>
                <w:rFonts w:ascii="Segoe UI Light" w:hAnsi="Segoe UI Light"/>
                <w:b/>
                <w:color w:val="FFFFFF"/>
                <w:sz w:val="18"/>
              </w:rPr>
              <w:t>Factor</w:t>
            </w:r>
          </w:p>
        </w:tc>
        <w:tc>
          <w:tcPr>
            <w:tcW w:type="dxa" w:w="1606"/>
            <w:shd w:fill="1E3A5F" w:val="clear"/>
            <w:vAlign w:val="center"/>
          </w:tcPr>
          <w:p>
            <w:pPr>
              <w:keepNext/>
              <w:spacing w:after="60" w:before="60"/>
              <w:jc w:val="left"/>
            </w:pPr>
            <w:r>
              <w:rPr>
                <w:rFonts w:ascii="Segoe UI Light" w:hAnsi="Segoe UI Light"/>
                <w:b/>
                <w:color w:val="FFFFFF"/>
                <w:sz w:val="18"/>
              </w:rPr>
              <w:t>Low (L)</w:t>
            </w:r>
          </w:p>
        </w:tc>
        <w:tc>
          <w:tcPr>
            <w:tcW w:type="dxa" w:w="1606"/>
            <w:shd w:fill="1E3A5F" w:val="clear"/>
            <w:vAlign w:val="center"/>
          </w:tcPr>
          <w:p>
            <w:pPr>
              <w:keepNext/>
              <w:spacing w:after="60" w:before="60"/>
              <w:jc w:val="left"/>
            </w:pPr>
            <w:r>
              <w:rPr>
                <w:rFonts w:ascii="Segoe UI Light" w:hAnsi="Segoe UI Light"/>
                <w:b/>
                <w:color w:val="FFFFFF"/>
                <w:sz w:val="18"/>
              </w:rPr>
              <w:t>Moderate (M)</w:t>
            </w:r>
          </w:p>
        </w:tc>
        <w:tc>
          <w:tcPr>
            <w:tcW w:type="dxa" w:w="1606"/>
            <w:shd w:fill="1E3A5F" w:val="clear"/>
            <w:vAlign w:val="center"/>
          </w:tcPr>
          <w:p>
            <w:pPr>
              <w:keepNext/>
              <w:spacing w:after="60" w:before="60"/>
              <w:jc w:val="left"/>
            </w:pPr>
            <w:r>
              <w:rPr>
                <w:rFonts w:ascii="Segoe UI Light" w:hAnsi="Segoe UI Light"/>
                <w:b/>
                <w:color w:val="FFFFFF"/>
                <w:sz w:val="18"/>
              </w:rPr>
              <w:t>High (H)</w:t>
            </w:r>
          </w:p>
        </w:tc>
        <w:tc>
          <w:tcPr>
            <w:tcW w:type="dxa" w:w="2008"/>
            <w:shd w:fill="1E3A5F" w:val="clear"/>
            <w:vAlign w:val="center"/>
          </w:tcPr>
          <w:p>
            <w:pPr>
              <w:keepNext/>
              <w:spacing w:after="60" w:before="60"/>
              <w:jc w:val="left"/>
            </w:pPr>
            <w:r>
              <w:rPr>
                <w:rFonts w:ascii="Segoe UI Light" w:hAnsi="Segoe UI Light"/>
                <w:b/>
                <w:color w:val="FFFFFF"/>
                <w:sz w:val="18"/>
              </w:rPr>
              <w:t>Recorded direction</w:t>
            </w:r>
          </w:p>
        </w:tc>
      </w:tr>
      <w:tr>
        <w:trPr>
          <w:cantSplit/>
        </w:trPr>
        <w:tc>
          <w:tcPr>
            <w:tcW w:type="dxa" w:w="2811"/>
            <w:vAlign w:val="center"/>
          </w:tcPr>
          <w:p>
            <w:pPr>
              <w:keepNext w:val="0"/>
              <w:spacing w:after="60" w:before="60"/>
              <w:jc w:val="left"/>
            </w:pPr>
            <w:r>
              <w:rPr>
                <w:rFonts w:ascii="Segoe UI Light" w:hAnsi="Segoe UI Light"/>
                <w:b w:val="0"/>
                <w:sz w:val="18"/>
              </w:rPr>
              <w:t>Burnout</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25.5%</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Change Consultation</w:t>
            </w:r>
          </w:p>
        </w:tc>
        <w:tc>
          <w:tcPr>
            <w:tcW w:type="dxa" w:w="1606"/>
            <w:shd w:fill="F1F5F9" w:val="clear"/>
            <w:vAlign w:val="center"/>
          </w:tcPr>
          <w:p>
            <w:pPr>
              <w:keepNext w:val="0"/>
              <w:spacing w:after="60" w:before="60"/>
              <w:jc w:val="center"/>
            </w:pPr>
            <w:r>
              <w:rPr>
                <w:rFonts w:ascii="Segoe UI Light" w:hAnsi="Segoe UI Light"/>
                <w:b w:val="0"/>
                <w:sz w:val="18"/>
              </w:rPr>
              <w:t>28.4%</w:t>
            </w:r>
          </w:p>
        </w:tc>
        <w:tc>
          <w:tcPr>
            <w:tcW w:type="dxa" w:w="1606"/>
            <w:shd w:fill="F1F5F9" w:val="clear"/>
            <w:vAlign w:val="center"/>
          </w:tcPr>
          <w:p>
            <w:pPr>
              <w:keepNext w:val="0"/>
              <w:spacing w:after="60" w:before="60"/>
              <w:jc w:val="center"/>
            </w:pPr>
            <w:r>
              <w:rPr>
                <w:rFonts w:ascii="Segoe UI Light" w:hAnsi="Segoe UI Light"/>
                <w:b w:val="0"/>
                <w:sz w:val="18"/>
              </w:rPr>
              <w:t>43.7%</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Cognitive Demand</w:t>
            </w:r>
          </w:p>
        </w:tc>
        <w:tc>
          <w:tcPr>
            <w:tcW w:type="dxa" w:w="1606"/>
            <w:vAlign w:val="center"/>
          </w:tcPr>
          <w:p>
            <w:pPr>
              <w:keepNext w:val="0"/>
              <w:spacing w:after="60" w:before="60"/>
              <w:jc w:val="center"/>
            </w:pPr>
            <w:r>
              <w:rPr>
                <w:rFonts w:ascii="Segoe UI Light" w:hAnsi="Segoe UI Light"/>
                <w:b w:val="0"/>
                <w:sz w:val="18"/>
              </w:rPr>
              <w:t>12.5%</w:t>
            </w:r>
          </w:p>
        </w:tc>
        <w:tc>
          <w:tcPr>
            <w:tcW w:type="dxa" w:w="1606"/>
            <w:vAlign w:val="center"/>
          </w:tcPr>
          <w:p>
            <w:pPr>
              <w:keepNext w:val="0"/>
              <w:spacing w:after="60" w:before="60"/>
              <w:jc w:val="center"/>
            </w:pPr>
            <w:r>
              <w:rPr>
                <w:rFonts w:ascii="Segoe UI Light" w:hAnsi="Segoe UI Light"/>
                <w:b w:val="0"/>
                <w:sz w:val="18"/>
              </w:rPr>
              <w:t>45.2%</w:t>
            </w:r>
          </w:p>
        </w:tc>
        <w:tc>
          <w:tcPr>
            <w:tcW w:type="dxa" w:w="1606"/>
            <w:vAlign w:val="center"/>
          </w:tcPr>
          <w:p>
            <w:pPr>
              <w:keepNext w:val="0"/>
              <w:spacing w:after="60" w:before="60"/>
              <w:jc w:val="center"/>
            </w:pPr>
            <w:r>
              <w:rPr>
                <w:rFonts w:ascii="Segoe UI Light" w:hAnsi="Segoe UI Light"/>
                <w:b w:val="0"/>
                <w:sz w:val="18"/>
              </w:rPr>
              <w:t>42.3%</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Coworker Support</w:t>
            </w:r>
          </w:p>
        </w:tc>
        <w:tc>
          <w:tcPr>
            <w:tcW w:type="dxa" w:w="1606"/>
            <w:shd w:fill="F1F5F9" w:val="clear"/>
            <w:vAlign w:val="center"/>
          </w:tcPr>
          <w:p>
            <w:pPr>
              <w:keepNext w:val="0"/>
              <w:spacing w:after="60" w:before="60"/>
              <w:jc w:val="center"/>
            </w:pPr>
            <w:r>
              <w:rPr>
                <w:rFonts w:ascii="Segoe UI Light" w:hAnsi="Segoe UI Light"/>
                <w:b w:val="0"/>
                <w:sz w:val="18"/>
              </w:rPr>
              <w:t>15.7%</w:t>
            </w:r>
          </w:p>
        </w:tc>
        <w:tc>
          <w:tcPr>
            <w:tcW w:type="dxa" w:w="1606"/>
            <w:shd w:fill="F1F5F9" w:val="clear"/>
            <w:vAlign w:val="center"/>
          </w:tcPr>
          <w:p>
            <w:pPr>
              <w:keepNext w:val="0"/>
              <w:spacing w:after="60" w:before="60"/>
              <w:jc w:val="center"/>
            </w:pPr>
            <w:r>
              <w:rPr>
                <w:rFonts w:ascii="Segoe UI Light" w:hAnsi="Segoe UI Light"/>
                <w:b w:val="0"/>
                <w:sz w:val="18"/>
              </w:rPr>
              <w:t>42.0%</w:t>
            </w:r>
          </w:p>
        </w:tc>
        <w:tc>
          <w:tcPr>
            <w:tcW w:type="dxa" w:w="1606"/>
            <w:shd w:fill="F1F5F9" w:val="clear"/>
            <w:vAlign w:val="center"/>
          </w:tcPr>
          <w:p>
            <w:pPr>
              <w:keepNext w:val="0"/>
              <w:spacing w:after="60" w:before="60"/>
              <w:jc w:val="center"/>
            </w:pPr>
            <w:r>
              <w:rPr>
                <w:rFonts w:ascii="Segoe UI Light" w:hAnsi="Segoe UI Light"/>
                <w:b w:val="0"/>
                <w:sz w:val="18"/>
              </w:rPr>
              <w:t>42.2%</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Development Growth</w:t>
            </w:r>
          </w:p>
        </w:tc>
        <w:tc>
          <w:tcPr>
            <w:tcW w:type="dxa" w:w="1606"/>
            <w:vAlign w:val="center"/>
          </w:tcPr>
          <w:p>
            <w:pPr>
              <w:keepNext w:val="0"/>
              <w:spacing w:after="60" w:before="60"/>
              <w:jc w:val="center"/>
            </w:pPr>
            <w:r>
              <w:rPr>
                <w:rFonts w:ascii="Segoe UI Light" w:hAnsi="Segoe UI Light"/>
                <w:b w:val="0"/>
                <w:sz w:val="18"/>
              </w:rPr>
              <w:t>14.1%</w:t>
            </w:r>
          </w:p>
        </w:tc>
        <w:tc>
          <w:tcPr>
            <w:tcW w:type="dxa" w:w="1606"/>
            <w:vAlign w:val="center"/>
          </w:tcPr>
          <w:p>
            <w:pPr>
              <w:keepNext w:val="0"/>
              <w:spacing w:after="60" w:before="60"/>
              <w:jc w:val="center"/>
            </w:pPr>
            <w:r>
              <w:rPr>
                <w:rFonts w:ascii="Segoe UI Light" w:hAnsi="Segoe UI Light"/>
                <w:b w:val="0"/>
                <w:sz w:val="18"/>
              </w:rPr>
              <w:t>37.8%</w:t>
            </w:r>
          </w:p>
        </w:tc>
        <w:tc>
          <w:tcPr>
            <w:tcW w:type="dxa" w:w="1606"/>
            <w:vAlign w:val="center"/>
          </w:tcPr>
          <w:p>
            <w:pPr>
              <w:keepNext w:val="0"/>
              <w:spacing w:after="60" w:before="60"/>
              <w:jc w:val="center"/>
            </w:pPr>
            <w:r>
              <w:rPr>
                <w:rFonts w:ascii="Segoe UI Light" w:hAnsi="Segoe UI Light"/>
                <w:b w:val="0"/>
                <w:sz w:val="18"/>
              </w:rPr>
              <w:t>48.1%</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Emotional Demand</w:t>
            </w:r>
          </w:p>
        </w:tc>
        <w:tc>
          <w:tcPr>
            <w:tcW w:type="dxa" w:w="1606"/>
            <w:shd w:fill="F1F5F9" w:val="clear"/>
            <w:vAlign w:val="center"/>
          </w:tcPr>
          <w:p>
            <w:pPr>
              <w:keepNext w:val="0"/>
              <w:spacing w:after="60" w:before="60"/>
              <w:jc w:val="center"/>
            </w:pPr>
            <w:r>
              <w:rPr>
                <w:rFonts w:ascii="Segoe UI Light" w:hAnsi="Segoe UI Light"/>
                <w:b w:val="0"/>
                <w:sz w:val="18"/>
              </w:rPr>
              <w:t>45.3%</w:t>
            </w:r>
          </w:p>
        </w:tc>
        <w:tc>
          <w:tcPr>
            <w:tcW w:type="dxa" w:w="1606"/>
            <w:shd w:fill="F1F5F9" w:val="clear"/>
            <w:vAlign w:val="center"/>
          </w:tcPr>
          <w:p>
            <w:pPr>
              <w:keepNext w:val="0"/>
              <w:spacing w:after="60" w:before="60"/>
              <w:jc w:val="center"/>
            </w:pPr>
            <w:r>
              <w:rPr>
                <w:rFonts w:ascii="Segoe UI Light" w:hAnsi="Segoe UI Light"/>
                <w:b w:val="0"/>
                <w:sz w:val="18"/>
              </w:rPr>
              <w:t>33.1%</w:t>
            </w:r>
          </w:p>
        </w:tc>
        <w:tc>
          <w:tcPr>
            <w:tcW w:type="dxa" w:w="1606"/>
            <w:shd w:fill="F1F5F9" w:val="clear"/>
            <w:vAlign w:val="center"/>
          </w:tcPr>
          <w:p>
            <w:pPr>
              <w:keepNext w:val="0"/>
              <w:spacing w:after="60" w:before="60"/>
              <w:jc w:val="center"/>
            </w:pPr>
            <w:r>
              <w:rPr>
                <w:rFonts w:ascii="Segoe UI Light" w:hAnsi="Segoe UI Light"/>
                <w:b w:val="0"/>
                <w:sz w:val="18"/>
              </w:rPr>
              <w:t>21.6%</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Job Control</w:t>
            </w:r>
          </w:p>
        </w:tc>
        <w:tc>
          <w:tcPr>
            <w:tcW w:type="dxa" w:w="1606"/>
            <w:vAlign w:val="center"/>
          </w:tcPr>
          <w:p>
            <w:pPr>
              <w:keepNext w:val="0"/>
              <w:spacing w:after="60" w:before="60"/>
              <w:jc w:val="center"/>
            </w:pPr>
            <w:r>
              <w:rPr>
                <w:rFonts w:ascii="Segoe UI Light" w:hAnsi="Segoe UI Light"/>
                <w:b w:val="0"/>
                <w:sz w:val="18"/>
              </w:rPr>
              <w:t>24.3%</w:t>
            </w:r>
          </w:p>
        </w:tc>
        <w:tc>
          <w:tcPr>
            <w:tcW w:type="dxa" w:w="1606"/>
            <w:vAlign w:val="center"/>
          </w:tcPr>
          <w:p>
            <w:pPr>
              <w:keepNext w:val="0"/>
              <w:spacing w:after="60" w:before="60"/>
              <w:jc w:val="center"/>
            </w:pPr>
            <w:r>
              <w:rPr>
                <w:rFonts w:ascii="Segoe UI Light" w:hAnsi="Segoe UI Light"/>
                <w:b w:val="0"/>
                <w:sz w:val="18"/>
              </w:rPr>
              <w:t>48.0%</w:t>
            </w:r>
          </w:p>
        </w:tc>
        <w:tc>
          <w:tcPr>
            <w:tcW w:type="dxa" w:w="1606"/>
            <w:vAlign w:val="center"/>
          </w:tcPr>
          <w:p>
            <w:pPr>
              <w:keepNext w:val="0"/>
              <w:spacing w:after="60" w:before="60"/>
              <w:jc w:val="center"/>
            </w:pPr>
            <w:r>
              <w:rPr>
                <w:rFonts w:ascii="Segoe UI Light" w:hAnsi="Segoe UI Light"/>
                <w:b w:val="0"/>
                <w:sz w:val="18"/>
              </w:rPr>
              <w:t>27.7%</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Job Insecurity</w:t>
            </w:r>
          </w:p>
        </w:tc>
        <w:tc>
          <w:tcPr>
            <w:tcW w:type="dxa" w:w="1606"/>
            <w:shd w:fill="F1F5F9" w:val="clear"/>
            <w:vAlign w:val="center"/>
          </w:tcPr>
          <w:p>
            <w:pPr>
              <w:keepNext w:val="0"/>
              <w:spacing w:after="60" w:before="60"/>
              <w:jc w:val="center"/>
            </w:pPr>
            <w:r>
              <w:rPr>
                <w:rFonts w:ascii="Segoe UI Light" w:hAnsi="Segoe UI Light"/>
                <w:b w:val="0"/>
                <w:sz w:val="18"/>
              </w:rPr>
              <w:t>55.8%</w:t>
            </w:r>
          </w:p>
        </w:tc>
        <w:tc>
          <w:tcPr>
            <w:tcW w:type="dxa" w:w="1606"/>
            <w:shd w:fill="F1F5F9" w:val="clear"/>
            <w:vAlign w:val="center"/>
          </w:tcPr>
          <w:p>
            <w:pPr>
              <w:keepNext w:val="0"/>
              <w:spacing w:after="60" w:before="60"/>
              <w:jc w:val="center"/>
            </w:pPr>
            <w:r>
              <w:rPr>
                <w:rFonts w:ascii="Segoe UI Light" w:hAnsi="Segoe UI Light"/>
                <w:b w:val="0"/>
                <w:sz w:val="18"/>
              </w:rPr>
              <w:t>28.9%</w:t>
            </w:r>
          </w:p>
        </w:tc>
        <w:tc>
          <w:tcPr>
            <w:tcW w:type="dxa" w:w="1606"/>
            <w:shd w:fill="F1F5F9" w:val="clear"/>
            <w:vAlign w:val="center"/>
          </w:tcPr>
          <w:p>
            <w:pPr>
              <w:keepNext w:val="0"/>
              <w:spacing w:after="60" w:before="60"/>
              <w:jc w:val="center"/>
            </w:pPr>
            <w:r>
              <w:rPr>
                <w:rFonts w:ascii="Segoe UI Light" w:hAnsi="Segoe UI Light"/>
                <w:b w:val="0"/>
                <w:sz w:val="18"/>
              </w:rPr>
              <w:t>15.4%</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Meaningful Work</w:t>
            </w:r>
          </w:p>
        </w:tc>
        <w:tc>
          <w:tcPr>
            <w:tcW w:type="dxa" w:w="1606"/>
            <w:vAlign w:val="center"/>
          </w:tcPr>
          <w:p>
            <w:pPr>
              <w:keepNext w:val="0"/>
              <w:spacing w:after="60" w:before="60"/>
              <w:jc w:val="center"/>
            </w:pPr>
            <w:r>
              <w:rPr>
                <w:rFonts w:ascii="Segoe UI Light" w:hAnsi="Segoe UI Light"/>
                <w:b w:val="0"/>
                <w:sz w:val="18"/>
              </w:rPr>
              <w:t>14.5%</w:t>
            </w:r>
          </w:p>
        </w:tc>
        <w:tc>
          <w:tcPr>
            <w:tcW w:type="dxa" w:w="1606"/>
            <w:vAlign w:val="center"/>
          </w:tcPr>
          <w:p>
            <w:pPr>
              <w:keepNext w:val="0"/>
              <w:spacing w:after="60" w:before="60"/>
              <w:jc w:val="center"/>
            </w:pPr>
            <w:r>
              <w:rPr>
                <w:rFonts w:ascii="Segoe UI Light" w:hAnsi="Segoe UI Light"/>
                <w:b w:val="0"/>
                <w:sz w:val="18"/>
              </w:rPr>
              <w:t>30.6%</w:t>
            </w:r>
          </w:p>
        </w:tc>
        <w:tc>
          <w:tcPr>
            <w:tcW w:type="dxa" w:w="1606"/>
            <w:vAlign w:val="center"/>
          </w:tcPr>
          <w:p>
            <w:pPr>
              <w:keepNext w:val="0"/>
              <w:spacing w:after="60" w:before="60"/>
              <w:jc w:val="center"/>
            </w:pPr>
            <w:r>
              <w:rPr>
                <w:rFonts w:ascii="Segoe UI Light" w:hAnsi="Segoe UI Light"/>
                <w:b w:val="0"/>
                <w:sz w:val="18"/>
              </w:rPr>
              <w:t>54.9%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Procedural Justice</w:t>
            </w:r>
          </w:p>
        </w:tc>
        <w:tc>
          <w:tcPr>
            <w:tcW w:type="dxa" w:w="1606"/>
            <w:shd w:fill="F1F5F9" w:val="clear"/>
            <w:vAlign w:val="center"/>
          </w:tcPr>
          <w:p>
            <w:pPr>
              <w:keepNext w:val="0"/>
              <w:spacing w:after="60" w:before="60"/>
              <w:jc w:val="center"/>
            </w:pPr>
            <w:r>
              <w:rPr>
                <w:rFonts w:ascii="Segoe UI Light" w:hAnsi="Segoe UI Light"/>
                <w:b w:val="0"/>
                <w:sz w:val="18"/>
              </w:rPr>
              <w:t>17.0%</w:t>
            </w:r>
          </w:p>
        </w:tc>
        <w:tc>
          <w:tcPr>
            <w:tcW w:type="dxa" w:w="1606"/>
            <w:shd w:fill="F1F5F9" w:val="clear"/>
            <w:vAlign w:val="center"/>
          </w:tcPr>
          <w:p>
            <w:pPr>
              <w:keepNext w:val="0"/>
              <w:spacing w:after="60" w:before="60"/>
              <w:jc w:val="center"/>
            </w:pPr>
            <w:r>
              <w:rPr>
                <w:rFonts w:ascii="Segoe UI Light" w:hAnsi="Segoe UI Light"/>
                <w:b w:val="0"/>
                <w:sz w:val="18"/>
              </w:rPr>
              <w:t>39.5%</w:t>
            </w:r>
          </w:p>
        </w:tc>
        <w:tc>
          <w:tcPr>
            <w:tcW w:type="dxa" w:w="1606"/>
            <w:shd w:fill="F1F5F9" w:val="clear"/>
            <w:vAlign w:val="center"/>
          </w:tcPr>
          <w:p>
            <w:pPr>
              <w:keepNext w:val="0"/>
              <w:spacing w:after="60" w:before="60"/>
              <w:jc w:val="center"/>
            </w:pPr>
            <w:r>
              <w:rPr>
                <w:rFonts w:ascii="Segoe UI Light" w:hAnsi="Segoe UI Light"/>
                <w:b w:val="0"/>
                <w:sz w:val="18"/>
              </w:rPr>
              <w:t>43.5%</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Psych Distress</w:t>
            </w:r>
          </w:p>
        </w:tc>
        <w:tc>
          <w:tcPr>
            <w:tcW w:type="dxa" w:w="1606"/>
            <w:vAlign w:val="center"/>
          </w:tcPr>
          <w:p>
            <w:pPr>
              <w:keepNext w:val="0"/>
              <w:spacing w:after="60" w:before="60"/>
              <w:jc w:val="center"/>
            </w:pPr>
            <w:r>
              <w:rPr>
                <w:rFonts w:ascii="Segoe UI Light" w:hAnsi="Segoe UI Light"/>
                <w:b w:val="0"/>
                <w:sz w:val="18"/>
              </w:rPr>
              <w:t>45.4%</w:t>
            </w:r>
          </w:p>
        </w:tc>
        <w:tc>
          <w:tcPr>
            <w:tcW w:type="dxa" w:w="1606"/>
            <w:vAlign w:val="center"/>
          </w:tcPr>
          <w:p>
            <w:pPr>
              <w:keepNext w:val="0"/>
              <w:spacing w:after="60" w:before="60"/>
              <w:jc w:val="center"/>
            </w:pPr>
            <w:r>
              <w:rPr>
                <w:rFonts w:ascii="Segoe UI Light" w:hAnsi="Segoe UI Light"/>
                <w:b w:val="0"/>
                <w:sz w:val="18"/>
              </w:rPr>
              <w:t>36.2%</w:t>
            </w:r>
          </w:p>
        </w:tc>
        <w:tc>
          <w:tcPr>
            <w:tcW w:type="dxa" w:w="1606"/>
            <w:vAlign w:val="center"/>
          </w:tcPr>
          <w:p>
            <w:pPr>
              <w:keepNext w:val="0"/>
              <w:spacing w:after="60" w:before="60"/>
              <w:jc w:val="center"/>
            </w:pPr>
            <w:r>
              <w:rPr>
                <w:rFonts w:ascii="Segoe UI Light" w:hAnsi="Segoe UI Light"/>
                <w:b w:val="0"/>
                <w:sz w:val="18"/>
              </w:rPr>
              <w:t>18.4%</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Psychological Safety</w:t>
            </w:r>
          </w:p>
        </w:tc>
        <w:tc>
          <w:tcPr>
            <w:tcW w:type="dxa" w:w="1606"/>
            <w:shd w:fill="F1F5F9" w:val="clear"/>
            <w:vAlign w:val="center"/>
          </w:tcPr>
          <w:p>
            <w:pPr>
              <w:keepNext w:val="0"/>
              <w:spacing w:after="60" w:before="60"/>
              <w:jc w:val="center"/>
            </w:pPr>
            <w:r>
              <w:rPr>
                <w:rFonts w:ascii="Segoe UI Light" w:hAnsi="Segoe UI Light"/>
                <w:b w:val="0"/>
                <w:sz w:val="18"/>
              </w:rPr>
              <w:t>11.5%</w:t>
            </w:r>
          </w:p>
        </w:tc>
        <w:tc>
          <w:tcPr>
            <w:tcW w:type="dxa" w:w="1606"/>
            <w:shd w:fill="F1F5F9" w:val="clear"/>
            <w:vAlign w:val="center"/>
          </w:tcPr>
          <w:p>
            <w:pPr>
              <w:keepNext w:val="0"/>
              <w:spacing w:after="60" w:before="60"/>
              <w:jc w:val="center"/>
            </w:pPr>
            <w:r>
              <w:rPr>
                <w:rFonts w:ascii="Segoe UI Light" w:hAnsi="Segoe UI Light"/>
                <w:b w:val="0"/>
                <w:sz w:val="18"/>
              </w:rPr>
              <w:t>38.6%</w:t>
            </w:r>
          </w:p>
        </w:tc>
        <w:tc>
          <w:tcPr>
            <w:tcW w:type="dxa" w:w="1606"/>
            <w:shd w:fill="F1F5F9" w:val="clear"/>
            <w:vAlign w:val="center"/>
          </w:tcPr>
          <w:p>
            <w:pPr>
              <w:keepNext w:val="0"/>
              <w:spacing w:after="60" w:before="60"/>
              <w:jc w:val="center"/>
            </w:pPr>
            <w:r>
              <w:rPr>
                <w:rFonts w:ascii="Segoe UI Light" w:hAnsi="Segoe UI Light"/>
                <w:b w:val="0"/>
                <w:sz w:val="18"/>
              </w:rPr>
              <w:t>49.9%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Recognition</w:t>
            </w:r>
          </w:p>
        </w:tc>
        <w:tc>
          <w:tcPr>
            <w:tcW w:type="dxa" w:w="1606"/>
            <w:vAlign w:val="center"/>
          </w:tcPr>
          <w:p>
            <w:pPr>
              <w:keepNext w:val="0"/>
              <w:spacing w:after="60" w:before="60"/>
              <w:jc w:val="center"/>
            </w:pPr>
            <w:r>
              <w:rPr>
                <w:rFonts w:ascii="Segoe UI Light" w:hAnsi="Segoe UI Light"/>
                <w:b w:val="0"/>
                <w:sz w:val="18"/>
              </w:rPr>
              <w:t>16.8%</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49.9%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Ambiguity</w:t>
            </w:r>
          </w:p>
        </w:tc>
        <w:tc>
          <w:tcPr>
            <w:tcW w:type="dxa" w:w="1606"/>
            <w:shd w:fill="F1F5F9" w:val="clear"/>
            <w:vAlign w:val="center"/>
          </w:tcPr>
          <w:p>
            <w:pPr>
              <w:keepNext w:val="0"/>
              <w:spacing w:after="60" w:before="60"/>
              <w:jc w:val="center"/>
            </w:pPr>
            <w:r>
              <w:rPr>
                <w:rFonts w:ascii="Segoe UI Light" w:hAnsi="Segoe UI Light"/>
                <w:b w:val="0"/>
                <w:sz w:val="18"/>
              </w:rPr>
              <w:t>66.0%</w:t>
            </w:r>
          </w:p>
        </w:tc>
        <w:tc>
          <w:tcPr>
            <w:tcW w:type="dxa" w:w="1606"/>
            <w:shd w:fill="F1F5F9" w:val="clear"/>
            <w:vAlign w:val="center"/>
          </w:tcPr>
          <w:p>
            <w:pPr>
              <w:keepNext w:val="0"/>
              <w:spacing w:after="60" w:before="60"/>
              <w:jc w:val="center"/>
            </w:pPr>
            <w:r>
              <w:rPr>
                <w:rFonts w:ascii="Segoe UI Light" w:hAnsi="Segoe UI Light"/>
                <w:b w:val="0"/>
                <w:sz w:val="18"/>
              </w:rPr>
              <w:t>28.7%</w:t>
            </w:r>
          </w:p>
        </w:tc>
        <w:tc>
          <w:tcPr>
            <w:tcW w:type="dxa" w:w="1606"/>
            <w:shd w:fill="F1F5F9" w:val="clear"/>
            <w:vAlign w:val="center"/>
          </w:tcPr>
          <w:p>
            <w:pPr>
              <w:keepNext w:val="0"/>
              <w:spacing w:after="60" w:before="60"/>
              <w:jc w:val="center"/>
            </w:pPr>
            <w:r>
              <w:rPr>
                <w:rFonts w:ascii="Segoe UI Light" w:hAnsi="Segoe UI Light"/>
                <w:b w:val="0"/>
                <w:sz w:val="18"/>
              </w:rPr>
              <w:t>5.3%</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Role Conflict</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36.8%</w:t>
            </w:r>
          </w:p>
        </w:tc>
        <w:tc>
          <w:tcPr>
            <w:tcW w:type="dxa" w:w="1606"/>
            <w:vAlign w:val="center"/>
          </w:tcPr>
          <w:p>
            <w:pPr>
              <w:keepNext w:val="0"/>
              <w:spacing w:after="60" w:before="60"/>
              <w:jc w:val="center"/>
            </w:pPr>
            <w:r>
              <w:rPr>
                <w:rFonts w:ascii="Segoe UI Light" w:hAnsi="Segoe UI Light"/>
                <w:b w:val="0"/>
                <w:sz w:val="18"/>
              </w:rPr>
              <w:t>22.1%</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Overload</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1606"/>
            <w:shd w:fill="F1F5F9" w:val="clear"/>
            <w:vAlign w:val="center"/>
          </w:tcPr>
          <w:p>
            <w:pPr>
              <w:keepNext w:val="0"/>
              <w:spacing w:after="60" w:before="60"/>
              <w:jc w:val="center"/>
            </w:pPr>
            <w:r>
              <w:rPr>
                <w:rFonts w:ascii="Segoe UI Light" w:hAnsi="Segoe UI Light"/>
                <w:b w:val="0"/>
                <w:sz w:val="18"/>
              </w:rPr>
              <w:t>46.9%</w:t>
            </w:r>
          </w:p>
        </w:tc>
        <w:tc>
          <w:tcPr>
            <w:tcW w:type="dxa" w:w="1606"/>
            <w:shd w:fill="F1F5F9" w:val="clear"/>
            <w:vAlign w:val="center"/>
          </w:tcPr>
          <w:p>
            <w:pPr>
              <w:keepNext w:val="0"/>
              <w:spacing w:after="60" w:before="60"/>
              <w:jc w:val="center"/>
            </w:pPr>
            <w:r>
              <w:rPr>
                <w:rFonts w:ascii="Segoe UI Light" w:hAnsi="Segoe UI Light"/>
                <w:b w:val="0"/>
                <w:sz w:val="18"/>
              </w:rPr>
              <w:t>25.2%</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Supervisor Support</w:t>
            </w:r>
          </w:p>
        </w:tc>
        <w:tc>
          <w:tcPr>
            <w:tcW w:type="dxa" w:w="1606"/>
            <w:vAlign w:val="center"/>
          </w:tcPr>
          <w:p>
            <w:pPr>
              <w:keepNext w:val="0"/>
              <w:spacing w:after="60" w:before="60"/>
              <w:jc w:val="center"/>
            </w:pPr>
            <w:r>
              <w:rPr>
                <w:rFonts w:ascii="Segoe UI Light" w:hAnsi="Segoe UI Light"/>
                <w:b w:val="0"/>
                <w:sz w:val="18"/>
              </w:rPr>
              <w:t>20.8%</w:t>
            </w:r>
          </w:p>
        </w:tc>
        <w:tc>
          <w:tcPr>
            <w:tcW w:type="dxa" w:w="1606"/>
            <w:vAlign w:val="center"/>
          </w:tcPr>
          <w:p>
            <w:pPr>
              <w:keepNext w:val="0"/>
              <w:spacing w:after="60" w:before="60"/>
              <w:jc w:val="center"/>
            </w:pPr>
            <w:r>
              <w:rPr>
                <w:rFonts w:ascii="Segoe UI Light" w:hAnsi="Segoe UI Light"/>
                <w:b w:val="0"/>
                <w:sz w:val="18"/>
              </w:rPr>
              <w:t>36.9%</w:t>
            </w:r>
          </w:p>
        </w:tc>
        <w:tc>
          <w:tcPr>
            <w:tcW w:type="dxa" w:w="1606"/>
            <w:vAlign w:val="center"/>
          </w:tcPr>
          <w:p>
            <w:pPr>
              <w:keepNext w:val="0"/>
              <w:spacing w:after="60" w:before="60"/>
              <w:jc w:val="center"/>
            </w:pPr>
            <w:r>
              <w:rPr>
                <w:rFonts w:ascii="Segoe UI Light" w:hAnsi="Segoe UI Light"/>
                <w:b w:val="0"/>
                <w:sz w:val="18"/>
              </w:rPr>
              <w:t>42.4%</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 Engagement</w:t>
            </w:r>
          </w:p>
        </w:tc>
        <w:tc>
          <w:tcPr>
            <w:tcW w:type="dxa" w:w="1606"/>
            <w:shd w:fill="F1F5F9" w:val="clear"/>
            <w:vAlign w:val="center"/>
          </w:tcPr>
          <w:p>
            <w:pPr>
              <w:keepNext w:val="0"/>
              <w:spacing w:after="60" w:before="60"/>
              <w:jc w:val="center"/>
            </w:pPr>
            <w:r>
              <w:rPr>
                <w:rFonts w:ascii="Segoe UI Light" w:hAnsi="Segoe UI Light"/>
                <w:b w:val="0"/>
                <w:sz w:val="18"/>
              </w:rPr>
              <w:t>18.5%</w:t>
            </w:r>
          </w:p>
        </w:tc>
        <w:tc>
          <w:tcPr>
            <w:tcW w:type="dxa" w:w="1606"/>
            <w:shd w:fill="F1F5F9" w:val="clear"/>
            <w:vAlign w:val="center"/>
          </w:tcPr>
          <w:p>
            <w:pPr>
              <w:keepNext w:val="0"/>
              <w:spacing w:after="60" w:before="60"/>
              <w:jc w:val="center"/>
            </w:pPr>
            <w:r>
              <w:rPr>
                <w:rFonts w:ascii="Segoe UI Light" w:hAnsi="Segoe UI Light"/>
                <w:b w:val="0"/>
                <w:sz w:val="18"/>
              </w:rPr>
              <w:t>47.4%</w:t>
            </w:r>
          </w:p>
        </w:tc>
        <w:tc>
          <w:tcPr>
            <w:tcW w:type="dxa" w:w="1606"/>
            <w:shd w:fill="F1F5F9" w:val="clear"/>
            <w:vAlign w:val="center"/>
          </w:tcPr>
          <w:p>
            <w:pPr>
              <w:keepNext w:val="0"/>
              <w:spacing w:after="60" w:before="60"/>
              <w:jc w:val="center"/>
            </w:pPr>
            <w:r>
              <w:rPr>
                <w:rFonts w:ascii="Segoe UI Light" w:hAnsi="Segoe UI Light"/>
                <w:b w:val="0"/>
                <w:sz w:val="18"/>
              </w:rPr>
              <w:t>34.1%</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Work Life Conflict</w:t>
            </w:r>
          </w:p>
        </w:tc>
        <w:tc>
          <w:tcPr>
            <w:tcW w:type="dxa" w:w="1606"/>
            <w:vAlign w:val="center"/>
          </w:tcPr>
          <w:p>
            <w:pPr>
              <w:keepNext w:val="0"/>
              <w:spacing w:after="60" w:before="60"/>
              <w:jc w:val="center"/>
            </w:pPr>
            <w:r>
              <w:rPr>
                <w:rFonts w:ascii="Segoe UI Light" w:hAnsi="Segoe UI Light"/>
                <w:b w:val="0"/>
                <w:sz w:val="18"/>
              </w:rPr>
              <w:t>45.5%</w:t>
            </w:r>
          </w:p>
        </w:tc>
        <w:tc>
          <w:tcPr>
            <w:tcW w:type="dxa" w:w="1606"/>
            <w:vAlign w:val="center"/>
          </w:tcPr>
          <w:p>
            <w:pPr>
              <w:keepNext w:val="0"/>
              <w:spacing w:after="60" w:before="60"/>
              <w:jc w:val="center"/>
            </w:pPr>
            <w:r>
              <w:rPr>
                <w:rFonts w:ascii="Segoe UI Light" w:hAnsi="Segoe UI Light"/>
                <w:b w:val="0"/>
                <w:sz w:val="18"/>
              </w:rPr>
              <w:t>34.3%</w:t>
            </w:r>
          </w:p>
        </w:tc>
        <w:tc>
          <w:tcPr>
            <w:tcW w:type="dxa" w:w="1606"/>
            <w:vAlign w:val="center"/>
          </w:tcPr>
          <w:p>
            <w:pPr>
              <w:keepNext w:val="0"/>
              <w:spacing w:after="60" w:before="60"/>
              <w:jc w:val="center"/>
            </w:pPr>
            <w:r>
              <w:rPr>
                <w:rFonts w:ascii="Segoe UI Light" w:hAnsi="Segoe UI Light"/>
                <w:b w:val="0"/>
                <w:sz w:val="18"/>
              </w:rPr>
              <w:t>20.2%</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Workplace Relationships</w:t>
            </w:r>
          </w:p>
        </w:tc>
        <w:tc>
          <w:tcPr>
            <w:tcW w:type="dxa" w:w="1606"/>
            <w:shd w:fill="F1F5F9" w:val="clear"/>
            <w:vAlign w:val="center"/>
          </w:tcPr>
          <w:p>
            <w:pPr>
              <w:keepNext w:val="0"/>
              <w:spacing w:after="60" w:before="60"/>
              <w:jc w:val="center"/>
            </w:pPr>
            <w:r>
              <w:rPr>
                <w:rFonts w:ascii="Segoe UI Light" w:hAnsi="Segoe UI Light"/>
                <w:b w:val="0"/>
                <w:sz w:val="18"/>
              </w:rPr>
              <w:t>11.1%</w:t>
            </w:r>
          </w:p>
        </w:tc>
        <w:tc>
          <w:tcPr>
            <w:tcW w:type="dxa" w:w="1606"/>
            <w:shd w:fill="F1F5F9" w:val="clear"/>
            <w:vAlign w:val="center"/>
          </w:tcPr>
          <w:p>
            <w:pPr>
              <w:keepNext w:val="0"/>
              <w:spacing w:after="60" w:before="60"/>
              <w:jc w:val="center"/>
            </w:pPr>
            <w:r>
              <w:rPr>
                <w:rFonts w:ascii="Segoe UI Light" w:hAnsi="Segoe UI Light"/>
                <w:b w:val="0"/>
                <w:sz w:val="18"/>
              </w:rPr>
              <w:t>32.1%</w:t>
            </w:r>
          </w:p>
        </w:tc>
        <w:tc>
          <w:tcPr>
            <w:tcW w:type="dxa" w:w="1606"/>
            <w:shd w:fill="F1F5F9" w:val="clear"/>
            <w:vAlign w:val="center"/>
          </w:tcPr>
          <w:p>
            <w:pPr>
              <w:keepNext w:val="0"/>
              <w:spacing w:after="60" w:before="60"/>
              <w:jc w:val="center"/>
            </w:pPr>
            <w:r>
              <w:rPr>
                <w:rFonts w:ascii="Segoe UI Light" w:hAnsi="Segoe UI Light"/>
                <w:b w:val="0"/>
                <w:sz w:val="18"/>
              </w:rPr>
              <w:t>56.8%</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bl>
    <w:p>
      <w:bookmarkStart w:id="18" w:name="_PWToc18"/>
      <w:pPr>
        <w:pStyle w:val="Heading2"/>
        <w:pageBreakBefore/>
      </w:pPr>
      <w:r>
        <w:rPr>
          <w:rFonts w:ascii="Segoe UI Light" w:hAnsi="Segoe UI Light"/>
          <w:b/>
          <w:color w:val="2D5A8E"/>
          <w:sz w:val="22"/>
        </w:rPr>
        <w:t>A3 – Simple Scenarios: One Factor at a Time</w:t>
      </w:r>
      <w:bookmarkEnd w:id="18"/>
    </w:p>
    <w:p>
      <w:pPr>
        <w:spacing w:after="160"/>
      </w:pPr>
      <w:r>
        <w:rPr>
          <w:rFonts w:ascii="Segoe UI Light" w:hAnsi="Segoe UI Light"/>
          <w:color w:val="64748B"/>
          <w:sz w:val="20"/>
        </w:rPr>
        <w:t>Each row compares a hypothetical change in one workplace factor with the starting model. Related conditions can change in the calculation; they are not all held fixed. The exact comparison state is shown where recorded. Positive values increase the named outcome state, which is favourable only where stated. The summed score adds changes across outcomes and is not a share of workers. Do not add separate rows to predict a joint effect.</w:t>
      </w:r>
    </w:p>
    <w:tbl>
      <w:tblPr>
        <w:tblStyle w:val="TableGrid"/>
        <w:tblLayout w:type="fixed"/>
        <w:tblLook w:firstColumn="1" w:firstRow="1" w:lastColumn="0" w:lastRow="0" w:noHBand="0" w:noVBand="1" w:val="04A0"/>
        <w:tblW w:w="5000" w:type="pct"/>
      </w:tblPr>
      <w:tblGrid>
        <w:gridCol w:w="2934"/>
        <w:gridCol w:w="1676"/>
        <w:gridCol w:w="1676"/>
        <w:gridCol w:w="1676"/>
        <w:gridCol w:w="1676"/>
      </w:tblGrid>
      <w:tr>
        <w:trPr>
          <w:tblHeader/>
          <w:cantSplit/>
        </w:trPr>
        <w:tc>
          <w:tcPr>
            <w:tcW w:type="dxa" w:w="2934"/>
            <w:shd w:fill="1E3A5F" w:val="clear"/>
            <w:vAlign w:val="center"/>
          </w:tcPr>
          <w:p>
            <w:pPr>
              <w:keepNext/>
              <w:spacing w:after="60" w:before="60"/>
              <w:jc w:val="left"/>
            </w:pPr>
            <w:r>
              <w:rPr>
                <w:rFonts w:ascii="Segoe UI Light" w:hAnsi="Segoe UI Light"/>
                <w:b/>
                <w:color w:val="FFFFFF"/>
                <w:sz w:val="18"/>
              </w:rPr>
              <w:t>Factor / scenario state</w:t>
            </w:r>
          </w:p>
        </w:tc>
        <w:tc>
          <w:tcPr>
            <w:tcW w:type="dxa" w:w="1676"/>
            <w:shd w:fill="1E3A5F" w:val="clear"/>
            <w:vAlign w:val="center"/>
          </w:tcPr>
          <w:p>
            <w:pPr>
              <w:keepNext/>
              <w:spacing w:after="60" w:before="60"/>
              <w:jc w:val="left"/>
            </w:pPr>
            <w:r>
              <w:rPr>
                <w:rFonts w:ascii="Segoe UI Light" w:hAnsi="Segoe UI Light"/>
                <w:b/>
                <w:color w:val="FFFFFF"/>
                <w:sz w:val="18"/>
              </w:rPr>
              <w:t>Work Engagement</w:t>
              <w:br/>
              <w:t>H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Burnout</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Psych Distress</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Sum (points)</w:t>
            </w:r>
          </w:p>
        </w:tc>
      </w:tr>
      <w:tr>
        <w:trPr>
          <w:cantSplit/>
        </w:trPr>
        <w:tc>
          <w:tcPr>
            <w:tcW w:type="dxa" w:w="2934"/>
            <w:vAlign w:val="center"/>
          </w:tcPr>
          <w:p>
            <w:pPr>
              <w:keepNext w:val="0"/>
              <w:spacing w:after="60" w:before="60"/>
              <w:jc w:val="left"/>
            </w:pPr>
            <w:r>
              <w:rPr>
                <w:rFonts w:ascii="Segoe UI Light" w:hAnsi="Segoe UI Light"/>
                <w:b w:val="0"/>
                <w:sz w:val="18"/>
              </w:rPr>
              <w:t>Role Overload</w:t>
              <w:br/>
              <w:t>Scenario state: L</w:t>
            </w:r>
          </w:p>
        </w:tc>
        <w:tc>
          <w:tcPr>
            <w:tcW w:type="dxa" w:w="1676"/>
            <w:vAlign w:val="center"/>
          </w:tcPr>
          <w:p>
            <w:pPr>
              <w:keepNext w:val="0"/>
              <w:spacing w:after="60" w:before="60"/>
              <w:jc w:val="center"/>
            </w:pPr>
            <w:r>
              <w:rPr>
                <w:rFonts w:ascii="Segoe UI Light" w:hAnsi="Segoe UI Light"/>
                <w:b w:val="0"/>
                <w:sz w:val="18"/>
              </w:rPr>
              <w:t>-1.1 pp</w:t>
            </w:r>
          </w:p>
        </w:tc>
        <w:tc>
          <w:tcPr>
            <w:tcW w:type="dxa" w:w="1676"/>
            <w:vAlign w:val="center"/>
          </w:tcPr>
          <w:p>
            <w:pPr>
              <w:keepNext w:val="0"/>
              <w:spacing w:after="60" w:before="60"/>
              <w:jc w:val="center"/>
            </w:pPr>
            <w:r>
              <w:rPr>
                <w:rFonts w:ascii="Segoe UI Light" w:hAnsi="Segoe UI Light"/>
                <w:b w:val="0"/>
                <w:sz w:val="18"/>
              </w:rPr>
              <w:t>+19.2 pp</w:t>
            </w:r>
          </w:p>
        </w:tc>
        <w:tc>
          <w:tcPr>
            <w:tcW w:type="dxa" w:w="1676"/>
            <w:vAlign w:val="center"/>
          </w:tcPr>
          <w:p>
            <w:pPr>
              <w:keepNext w:val="0"/>
              <w:spacing w:after="60" w:before="60"/>
              <w:jc w:val="center"/>
            </w:pPr>
            <w:r>
              <w:rPr>
                <w:rFonts w:ascii="Segoe UI Light" w:hAnsi="Segoe UI Light"/>
                <w:b w:val="0"/>
                <w:sz w:val="18"/>
              </w:rPr>
              <w:t>+10.9 pp</w:t>
            </w:r>
          </w:p>
        </w:tc>
        <w:tc>
          <w:tcPr>
            <w:tcW w:type="dxa" w:w="1676"/>
            <w:vAlign w:val="center"/>
          </w:tcPr>
          <w:p>
            <w:pPr>
              <w:keepNext w:val="0"/>
              <w:spacing w:after="60" w:before="60"/>
              <w:jc w:val="center"/>
            </w:pPr>
            <w:r>
              <w:rPr>
                <w:rFonts w:ascii="Segoe UI Light" w:hAnsi="Segoe UI Light"/>
                <w:b w:val="0"/>
                <w:sz w:val="18"/>
              </w:rPr>
              <w:t>+29.0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 Life Conflict</w:t>
              <w:br/>
              <w:t>Scenario state: L</w:t>
            </w:r>
          </w:p>
        </w:tc>
        <w:tc>
          <w:tcPr>
            <w:tcW w:type="dxa" w:w="1676"/>
            <w:shd w:fill="F1F5F9" w:val="clear"/>
            <w:vAlign w:val="center"/>
          </w:tcPr>
          <w:p>
            <w:pPr>
              <w:keepNext w:val="0"/>
              <w:spacing w:after="60" w:before="60"/>
              <w:jc w:val="center"/>
            </w:pPr>
            <w:r>
              <w:rPr>
                <w:rFonts w:ascii="Segoe UI Light" w:hAnsi="Segoe UI Light"/>
                <w:b w:val="0"/>
                <w:sz w:val="18"/>
              </w:rPr>
              <w:t>+6.5 pp</w:t>
            </w:r>
          </w:p>
        </w:tc>
        <w:tc>
          <w:tcPr>
            <w:tcW w:type="dxa" w:w="1676"/>
            <w:shd w:fill="F1F5F9" w:val="clear"/>
            <w:vAlign w:val="center"/>
          </w:tcPr>
          <w:p>
            <w:pPr>
              <w:keepNext w:val="0"/>
              <w:spacing w:after="60" w:before="60"/>
              <w:jc w:val="center"/>
            </w:pPr>
            <w:r>
              <w:rPr>
                <w:rFonts w:ascii="Segoe UI Light" w:hAnsi="Segoe UI Light"/>
                <w:b w:val="0"/>
                <w:sz w:val="18"/>
              </w:rPr>
              <w:t>+9.2 pp</w:t>
            </w:r>
          </w:p>
        </w:tc>
        <w:tc>
          <w:tcPr>
            <w:tcW w:type="dxa" w:w="1676"/>
            <w:shd w:fill="F1F5F9" w:val="clear"/>
            <w:vAlign w:val="center"/>
          </w:tcPr>
          <w:p>
            <w:pPr>
              <w:keepNext w:val="0"/>
              <w:spacing w:after="60" w:before="60"/>
              <w:jc w:val="center"/>
            </w:pPr>
            <w:r>
              <w:rPr>
                <w:rFonts w:ascii="Segoe UI Light" w:hAnsi="Segoe UI Light"/>
                <w:b w:val="0"/>
                <w:sz w:val="18"/>
              </w:rPr>
              <w:t>+12.1 pp</w:t>
            </w:r>
          </w:p>
        </w:tc>
        <w:tc>
          <w:tcPr>
            <w:tcW w:type="dxa" w:w="1676"/>
            <w:shd w:fill="F1F5F9" w:val="clear"/>
            <w:vAlign w:val="center"/>
          </w:tcPr>
          <w:p>
            <w:pPr>
              <w:keepNext w:val="0"/>
              <w:spacing w:after="60" w:before="60"/>
              <w:jc w:val="center"/>
            </w:pPr>
            <w:r>
              <w:rPr>
                <w:rFonts w:ascii="Segoe UI Light" w:hAnsi="Segoe UI Light"/>
                <w:b w:val="0"/>
                <w:sz w:val="18"/>
              </w:rPr>
              <w:t>+27.8 points</w:t>
            </w:r>
          </w:p>
        </w:tc>
      </w:tr>
      <w:tr>
        <w:trPr>
          <w:cantSplit/>
        </w:trPr>
        <w:tc>
          <w:tcPr>
            <w:tcW w:type="dxa" w:w="2934"/>
            <w:vAlign w:val="center"/>
          </w:tcPr>
          <w:p>
            <w:pPr>
              <w:keepNext w:val="0"/>
              <w:spacing w:after="60" w:before="60"/>
              <w:jc w:val="left"/>
            </w:pPr>
            <w:r>
              <w:rPr>
                <w:rFonts w:ascii="Segoe UI Light" w:hAnsi="Segoe UI Light"/>
                <w:b w:val="0"/>
                <w:sz w:val="18"/>
              </w:rPr>
              <w:t>Recognition</w:t>
              <w:br/>
              <w:t>Scenario state: H</w:t>
            </w:r>
          </w:p>
        </w:tc>
        <w:tc>
          <w:tcPr>
            <w:tcW w:type="dxa" w:w="1676"/>
            <w:vAlign w:val="center"/>
          </w:tcPr>
          <w:p>
            <w:pPr>
              <w:keepNext w:val="0"/>
              <w:spacing w:after="60" w:before="60"/>
              <w:jc w:val="center"/>
            </w:pPr>
            <w:r>
              <w:rPr>
                <w:rFonts w:ascii="Segoe UI Light" w:hAnsi="Segoe UI Light"/>
                <w:b w:val="0"/>
                <w:sz w:val="18"/>
              </w:rPr>
              <w:t>+10.8 pp</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+3.6 pp</w:t>
            </w:r>
          </w:p>
        </w:tc>
        <w:tc>
          <w:tcPr>
            <w:tcW w:type="dxa" w:w="1676"/>
            <w:vAlign w:val="center"/>
          </w:tcPr>
          <w:p>
            <w:pPr>
              <w:keepNext w:val="0"/>
              <w:spacing w:after="60" w:before="60"/>
              <w:jc w:val="center"/>
            </w:pPr>
            <w:r>
              <w:rPr>
                <w:rFonts w:ascii="Segoe UI Light" w:hAnsi="Segoe UI Light"/>
                <w:b w:val="0"/>
                <w:sz w:val="18"/>
              </w:rPr>
              <w:t>+19.9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Meaningful Work</w:t>
              <w:br/>
              <w:t>Scenario state: H</w:t>
            </w:r>
          </w:p>
        </w:tc>
        <w:tc>
          <w:tcPr>
            <w:tcW w:type="dxa" w:w="1676"/>
            <w:shd w:fill="F1F5F9" w:val="clear"/>
            <w:vAlign w:val="center"/>
          </w:tcPr>
          <w:p>
            <w:pPr>
              <w:keepNext w:val="0"/>
              <w:spacing w:after="60" w:before="60"/>
              <w:jc w:val="center"/>
            </w:pPr>
            <w:r>
              <w:rPr>
                <w:rFonts w:ascii="Segoe UI Light" w:hAnsi="Segoe UI Light"/>
                <w:b w:val="0"/>
                <w:sz w:val="18"/>
              </w:rPr>
              <w:t>+12.0 pp</w:t>
            </w:r>
          </w:p>
        </w:tc>
        <w:tc>
          <w:tcPr>
            <w:tcW w:type="dxa" w:w="1676"/>
            <w:shd w:fill="F1F5F9" w:val="clear"/>
            <w:vAlign w:val="center"/>
          </w:tcPr>
          <w:p>
            <w:pPr>
              <w:keepNext w:val="0"/>
              <w:spacing w:after="60" w:before="60"/>
              <w:jc w:val="center"/>
            </w:pPr>
            <w:r>
              <w:rPr>
                <w:rFonts w:ascii="Segoe UI Light" w:hAnsi="Segoe UI Light"/>
                <w:b w:val="0"/>
                <w:sz w:val="18"/>
              </w:rPr>
              <w:t>+4.2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+17.9 points</w:t>
            </w:r>
          </w:p>
        </w:tc>
      </w:tr>
      <w:tr>
        <w:trPr>
          <w:cantSplit/>
        </w:trPr>
        <w:tc>
          <w:tcPr>
            <w:tcW w:type="dxa" w:w="2934"/>
            <w:vAlign w:val="center"/>
          </w:tcPr>
          <w:p>
            <w:pPr>
              <w:keepNext w:val="0"/>
              <w:spacing w:after="60" w:before="60"/>
              <w:jc w:val="left"/>
            </w:pPr>
            <w:r>
              <w:rPr>
                <w:rFonts w:ascii="Segoe UI Light" w:hAnsi="Segoe UI Light"/>
                <w:b w:val="0"/>
                <w:sz w:val="18"/>
              </w:rPr>
              <w:t>Procedural Justice</w:t>
              <w:br/>
              <w:t>Scenario state: H</w:t>
            </w:r>
          </w:p>
        </w:tc>
        <w:tc>
          <w:tcPr>
            <w:tcW w:type="dxa" w:w="1676"/>
            <w:vAlign w:val="center"/>
          </w:tcPr>
          <w:p>
            <w:pPr>
              <w:keepNext w:val="0"/>
              <w:spacing w:after="60" w:before="60"/>
              <w:jc w:val="center"/>
            </w:pPr>
            <w:r>
              <w:rPr>
                <w:rFonts w:ascii="Segoe UI Light" w:hAnsi="Segoe UI Light"/>
                <w:b w:val="0"/>
                <w:sz w:val="18"/>
              </w:rPr>
              <w:t>+5.8 pp</w:t>
            </w:r>
          </w:p>
        </w:tc>
        <w:tc>
          <w:tcPr>
            <w:tcW w:type="dxa" w:w="1676"/>
            <w:vAlign w:val="center"/>
          </w:tcPr>
          <w:p>
            <w:pPr>
              <w:keepNext w:val="0"/>
              <w:spacing w:after="60" w:before="60"/>
              <w:jc w:val="center"/>
            </w:pPr>
            <w:r>
              <w:rPr>
                <w:rFonts w:ascii="Segoe UI Light" w:hAnsi="Segoe UI Light"/>
                <w:b w:val="0"/>
                <w:sz w:val="18"/>
              </w:rPr>
              <w:t>+4.5 pp</w:t>
            </w:r>
          </w:p>
        </w:tc>
        <w:tc>
          <w:tcPr>
            <w:tcW w:type="dxa" w:w="1676"/>
            <w:vAlign w:val="center"/>
          </w:tcPr>
          <w:p>
            <w:pPr>
              <w:keepNext w:val="0"/>
              <w:spacing w:after="60" w:before="60"/>
              <w:jc w:val="center"/>
            </w:pPr>
            <w:r>
              <w:rPr>
                <w:rFonts w:ascii="Segoe UI Light" w:hAnsi="Segoe UI Light"/>
                <w:b w:val="0"/>
                <w:sz w:val="18"/>
              </w:rPr>
              <w:t>+3.4 pp</w:t>
            </w:r>
          </w:p>
        </w:tc>
        <w:tc>
          <w:tcPr>
            <w:tcW w:type="dxa" w:w="1676"/>
            <w:vAlign w:val="center"/>
          </w:tcPr>
          <w:p>
            <w:pPr>
              <w:keepNext w:val="0"/>
              <w:spacing w:after="60" w:before="60"/>
              <w:jc w:val="center"/>
            </w:pPr>
            <w:r>
              <w:rPr>
                <w:rFonts w:ascii="Segoe UI Light" w:hAnsi="Segoe UI Light"/>
                <w:b w:val="0"/>
                <w:sz w:val="18"/>
              </w:rPr>
              <w:t>+13.8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Emotional Demand</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+7.9 pp</w:t>
            </w:r>
          </w:p>
        </w:tc>
        <w:tc>
          <w:tcPr>
            <w:tcW w:type="dxa" w:w="1676"/>
            <w:shd w:fill="F1F5F9" w:val="clear"/>
            <w:vAlign w:val="center"/>
          </w:tcPr>
          <w:p>
            <w:pPr>
              <w:keepNext w:val="0"/>
              <w:spacing w:after="60" w:before="60"/>
              <w:jc w:val="center"/>
            </w:pPr>
            <w:r>
              <w:rPr>
                <w:rFonts w:ascii="Segoe UI Light" w:hAnsi="Segoe UI Light"/>
                <w:b w:val="0"/>
                <w:sz w:val="18"/>
              </w:rPr>
              <w:t>+3.5 pp</w:t>
            </w:r>
          </w:p>
        </w:tc>
        <w:tc>
          <w:tcPr>
            <w:tcW w:type="dxa" w:w="1676"/>
            <w:shd w:fill="F1F5F9" w:val="clear"/>
            <w:vAlign w:val="center"/>
          </w:tcPr>
          <w:p>
            <w:pPr>
              <w:keepNext w:val="0"/>
              <w:spacing w:after="60" w:before="60"/>
              <w:jc w:val="center"/>
            </w:pPr>
            <w:r>
              <w:rPr>
                <w:rFonts w:ascii="Segoe UI Light" w:hAnsi="Segoe UI Light"/>
                <w:b w:val="0"/>
                <w:sz w:val="18"/>
              </w:rPr>
              <w:t>+11.4 points</w:t>
            </w:r>
          </w:p>
        </w:tc>
      </w:tr>
      <w:tr>
        <w:trPr>
          <w:cantSplit/>
        </w:trPr>
        <w:tc>
          <w:tcPr>
            <w:tcW w:type="dxa" w:w="2934"/>
            <w:vAlign w:val="center"/>
          </w:tcPr>
          <w:p>
            <w:pPr>
              <w:keepNext w:val="0"/>
              <w:spacing w:after="60" w:before="60"/>
              <w:jc w:val="left"/>
            </w:pPr>
            <w:r>
              <w:rPr>
                <w:rFonts w:ascii="Segoe UI Light" w:hAnsi="Segoe UI Light"/>
                <w:b w:val="0"/>
                <w:sz w:val="18"/>
              </w:rPr>
              <w:t>Supervisor Support</w:t>
              <w:br/>
              <w:t>Scenario state: H</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+2.6 pp</w:t>
            </w:r>
          </w:p>
        </w:tc>
        <w:tc>
          <w:tcPr>
            <w:tcW w:type="dxa" w:w="1676"/>
            <w:vAlign w:val="center"/>
          </w:tcPr>
          <w:p>
            <w:pPr>
              <w:keepNext w:val="0"/>
              <w:spacing w:after="60" w:before="60"/>
              <w:jc w:val="center"/>
            </w:pPr>
            <w:r>
              <w:rPr>
                <w:rFonts w:ascii="Segoe UI Light" w:hAnsi="Segoe UI Light"/>
                <w:b w:val="0"/>
                <w:sz w:val="18"/>
              </w:rPr>
              <w:t>+2.0 pp</w:t>
            </w:r>
          </w:p>
        </w:tc>
        <w:tc>
          <w:tcPr>
            <w:tcW w:type="dxa" w:w="1676"/>
            <w:vAlign w:val="center"/>
          </w:tcPr>
          <w:p>
            <w:pPr>
              <w:keepNext w:val="0"/>
              <w:spacing w:after="60" w:before="60"/>
              <w:jc w:val="center"/>
            </w:pPr>
            <w:r>
              <w:rPr>
                <w:rFonts w:ascii="Segoe UI Light" w:hAnsi="Segoe UI Light"/>
                <w:b w:val="0"/>
                <w:sz w:val="18"/>
              </w:rPr>
              <w:t>+10.1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Psychological Safety</w:t>
              <w:br/>
              <w:t>Scenario state: H</w:t>
            </w:r>
          </w:p>
        </w:tc>
        <w:tc>
          <w:tcPr>
            <w:tcW w:type="dxa" w:w="1676"/>
            <w:shd w:fill="F1F5F9" w:val="clear"/>
            <w:vAlign w:val="center"/>
          </w:tcPr>
          <w:p>
            <w:pPr>
              <w:keepNext w:val="0"/>
              <w:spacing w:after="60" w:before="60"/>
              <w:jc w:val="center"/>
            </w:pPr>
            <w:r>
              <w:rPr>
                <w:rFonts w:ascii="Segoe UI Light" w:hAnsi="Segoe UI Light"/>
                <w:b w:val="0"/>
                <w:sz w:val="18"/>
              </w:rPr>
              <w:t>+3.2 pp</w:t>
            </w:r>
          </w:p>
        </w:tc>
        <w:tc>
          <w:tcPr>
            <w:tcW w:type="dxa" w:w="1676"/>
            <w:shd w:fill="F1F5F9" w:val="clear"/>
            <w:vAlign w:val="center"/>
          </w:tcPr>
          <w:p>
            <w:pPr>
              <w:keepNext w:val="0"/>
              <w:spacing w:after="60" w:before="60"/>
              <w:jc w:val="center"/>
            </w:pPr>
            <w:r>
              <w:rPr>
                <w:rFonts w:ascii="Segoe UI Light" w:hAnsi="Segoe UI Light"/>
                <w:b w:val="0"/>
                <w:sz w:val="18"/>
              </w:rPr>
              <w:t>+1.9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+6.8 points</w:t>
            </w:r>
          </w:p>
        </w:tc>
      </w:tr>
      <w:tr>
        <w:trPr>
          <w:cantSplit/>
        </w:trPr>
        <w:tc>
          <w:tcPr>
            <w:tcW w:type="dxa" w:w="2934"/>
            <w:vAlign w:val="center"/>
          </w:tcPr>
          <w:p>
            <w:pPr>
              <w:keepNext w:val="0"/>
              <w:spacing w:after="60" w:before="60"/>
              <w:jc w:val="left"/>
            </w:pPr>
            <w:r>
              <w:rPr>
                <w:rFonts w:ascii="Segoe UI Light" w:hAnsi="Segoe UI Light"/>
                <w:b w:val="0"/>
                <w:sz w:val="18"/>
              </w:rPr>
              <w:t>Change Consultation</w:t>
              <w:br/>
              <w:t>Scenario state: H</w:t>
            </w:r>
          </w:p>
        </w:tc>
        <w:tc>
          <w:tcPr>
            <w:tcW w:type="dxa" w:w="1676"/>
            <w:vAlign w:val="center"/>
          </w:tcPr>
          <w:p>
            <w:pPr>
              <w:keepNext w:val="0"/>
              <w:spacing w:after="60" w:before="60"/>
              <w:jc w:val="center"/>
            </w:pPr>
            <w:r>
              <w:rPr>
                <w:rFonts w:ascii="Segoe UI Light" w:hAnsi="Segoe UI Light"/>
                <w:b w:val="0"/>
                <w:sz w:val="18"/>
              </w:rPr>
              <w:t>+3.1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+2.2 pp</w:t>
            </w:r>
          </w:p>
        </w:tc>
        <w:tc>
          <w:tcPr>
            <w:tcW w:type="dxa" w:w="1676"/>
            <w:vAlign w:val="center"/>
          </w:tcPr>
          <w:p>
            <w:pPr>
              <w:keepNext w:val="0"/>
              <w:spacing w:after="60" w:before="60"/>
              <w:jc w:val="center"/>
            </w:pPr>
            <w:r>
              <w:rPr>
                <w:rFonts w:ascii="Segoe UI Light" w:hAnsi="Segoe UI Light"/>
                <w:b w:val="0"/>
                <w:sz w:val="18"/>
              </w:rPr>
              <w:t>+6.7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Development Growth</w:t>
              <w:br/>
              <w:t>Scenario state: H</w:t>
            </w:r>
          </w:p>
        </w:tc>
        <w:tc>
          <w:tcPr>
            <w:tcW w:type="dxa" w:w="1676"/>
            <w:shd w:fill="F1F5F9" w:val="clear"/>
            <w:vAlign w:val="center"/>
          </w:tcPr>
          <w:p>
            <w:pPr>
              <w:keepNext w:val="0"/>
              <w:spacing w:after="60" w:before="60"/>
              <w:jc w:val="center"/>
            </w:pPr>
            <w:r>
              <w:rPr>
                <w:rFonts w:ascii="Segoe UI Light" w:hAnsi="Segoe UI Light"/>
                <w:b w:val="0"/>
                <w:sz w:val="18"/>
              </w:rPr>
              <w:t>+3.8 pp</w:t>
            </w:r>
          </w:p>
        </w:tc>
        <w:tc>
          <w:tcPr>
            <w:tcW w:type="dxa" w:w="1676"/>
            <w:shd w:fill="F1F5F9" w:val="clear"/>
            <w:vAlign w:val="center"/>
          </w:tcPr>
          <w:p>
            <w:pPr>
              <w:keepNext w:val="0"/>
              <w:spacing w:after="60" w:before="60"/>
              <w:jc w:val="center"/>
            </w:pPr>
            <w:r>
              <w:rPr>
                <w:rFonts w:ascii="Segoe UI Light" w:hAnsi="Segoe UI Light"/>
                <w:b w:val="0"/>
                <w:sz w:val="18"/>
              </w:rPr>
              <w:t>+0.5 pp</w:t>
            </w:r>
          </w:p>
        </w:tc>
        <w:tc>
          <w:tcPr>
            <w:tcW w:type="dxa" w:w="1676"/>
            <w:shd w:fill="F1F5F9" w:val="clear"/>
            <w:vAlign w:val="center"/>
          </w:tcPr>
          <w:p>
            <w:pPr>
              <w:keepNext w:val="0"/>
              <w:spacing w:after="60" w:before="60"/>
              <w:jc w:val="center"/>
            </w:pPr>
            <w:r>
              <w:rPr>
                <w:rFonts w:ascii="Segoe UI Light" w:hAnsi="Segoe UI Light"/>
                <w:b w:val="0"/>
                <w:sz w:val="18"/>
              </w:rPr>
              <w:t>+1.0 pp</w:t>
            </w:r>
          </w:p>
        </w:tc>
        <w:tc>
          <w:tcPr>
            <w:tcW w:type="dxa" w:w="1676"/>
            <w:shd w:fill="F1F5F9" w:val="clear"/>
            <w:vAlign w:val="center"/>
          </w:tcPr>
          <w:p>
            <w:pPr>
              <w:keepNext w:val="0"/>
              <w:spacing w:after="60" w:before="60"/>
              <w:jc w:val="center"/>
            </w:pPr>
            <w:r>
              <w:rPr>
                <w:rFonts w:ascii="Segoe UI Light" w:hAnsi="Segoe UI Light"/>
                <w:b w:val="0"/>
                <w:sz w:val="18"/>
              </w:rPr>
              <w:t>+5.4 points</w:t>
            </w:r>
          </w:p>
        </w:tc>
      </w:tr>
      <w:tr>
        <w:trPr>
          <w:cantSplit/>
        </w:trPr>
        <w:tc>
          <w:tcPr>
            <w:tcW w:type="dxa" w:w="2934"/>
            <w:vAlign w:val="center"/>
          </w:tcPr>
          <w:p>
            <w:pPr>
              <w:keepNext w:val="0"/>
              <w:spacing w:after="60" w:before="60"/>
              <w:jc w:val="left"/>
            </w:pPr>
            <w:r>
              <w:rPr>
                <w:rFonts w:ascii="Segoe UI Light" w:hAnsi="Segoe UI Light"/>
                <w:b w:val="0"/>
                <w:sz w:val="18"/>
              </w:rPr>
              <w:t>Job Insecurity</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+4.3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Coworker Support</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Job Control</w:t>
              <w:br/>
              <w:t>Scenario state: H</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Role Ambiguity</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Role Conflict</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Workplace Relationships</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Cognitive Demand</w:t>
              <w:br/>
              <w:t>Scenario state: L</w:t>
            </w:r>
          </w:p>
        </w:tc>
        <w:tc>
          <w:tcPr>
            <w:tcW w:type="dxa" w:w="1676"/>
            <w:vAlign w:val="center"/>
          </w:tcPr>
          <w:p>
            <w:pPr>
              <w:keepNext w:val="0"/>
              <w:spacing w:after="60" w:before="60"/>
              <w:jc w:val="center"/>
            </w:pPr>
            <w:r>
              <w:rPr>
                <w:rFonts w:ascii="Segoe UI Light" w:hAnsi="Segoe UI Light"/>
                <w:b w:val="0"/>
                <w:sz w:val="18"/>
              </w:rPr>
              <w:t>-18.4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-24.3 points</w:t>
            </w:r>
          </w:p>
        </w:tc>
      </w:tr>
    </w:tbl>
    <w:p>
      <w:bookmarkStart w:id="19" w:name="_PWToc19"/>
      <w:pPr>
        <w:pStyle w:val="Heading2"/>
        <w:pageBreakBefore/>
      </w:pPr>
      <w:r>
        <w:rPr>
          <w:rFonts w:ascii="Segoe UI Light" w:hAnsi="Segoe UI Light"/>
          <w:b/>
          <w:color w:val="2D5A8E"/>
          <w:sz w:val="22"/>
        </w:rPr>
        <w:t>A4 – Combined Scenarios: Factors Moved Together</w:t>
      </w:r>
      <w:bookmarkEnd w:id="19"/>
    </w:p>
    <w:p>
      <w:pPr>
        <w:spacing w:after="160"/>
      </w:pPr>
      <w:r>
        <w:rPr>
          <w:rFonts w:ascii="Segoe UI Light" w:hAnsi="Segoe UI Light"/>
          <w:color w:val="64748B"/>
          <w:sz w:val="20"/>
        </w:rPr>
        <w:t>These scenarios compare several changes together with the starting model. Their joint effect may be larger or smaller than the sum of separate comparisons. The calculation alone does not establish why, how quickly benefits would appear, or whether an action is feasible. Read each outcome separately.</w:t>
      </w:r>
    </w:p>
    <w:p>
      <w:pPr>
        <w:pStyle w:val="Heading3"/>
      </w:pPr>
      <w:r>
        <w:rPr>
          <w:rFonts w:ascii="Segoe UI Light" w:hAnsi="Segoe UI Light"/>
          <w:b/>
          <w:color w:val="2D5A8E"/>
          <w:sz w:val="21"/>
        </w:rPr>
        <w:t>Top combined scenarios: Work Engagement</w:t>
      </w:r>
    </w:p>
    <w:p>
      <w:pPr>
        <w:spacing w:after="160"/>
      </w:pPr>
      <w:r>
        <w:rPr>
          <w:rFonts w:ascii="Segoe UI Light" w:hAnsi="Segoe UI Light"/>
          <w:color w:val="64748B"/>
          <w:sz w:val="20"/>
        </w:rPr>
        <w:t>H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Work Life Conflict (L) + Recognition (H) + Meaningful Work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64.0%</w:t>
            </w:r>
          </w:p>
        </w:tc>
        <w:tc>
          <w:tcPr>
            <w:tcW w:type="dxa" w:w="1700"/>
            <w:vAlign w:val="center"/>
          </w:tcPr>
          <w:p>
            <w:pPr>
              <w:keepNext/>
              <w:spacing w:after="60" w:before="60"/>
              <w:jc w:val="center"/>
            </w:pPr>
            <w:r>
              <w:rPr>
                <w:rFonts w:ascii="Segoe UI Light" w:hAnsi="Segoe UI Light"/>
                <w:b w:val="0"/>
                <w:sz w:val="18"/>
              </w:rPr>
              <w:t>+29.8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Procedural Justice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58.1%</w:t>
            </w:r>
          </w:p>
        </w:tc>
        <w:tc>
          <w:tcPr>
            <w:tcW w:type="dxa" w:w="1700"/>
            <w:shd w:fill="F1F5F9" w:val="clear"/>
            <w:vAlign w:val="center"/>
          </w:tcPr>
          <w:p>
            <w:pPr>
              <w:keepNext/>
              <w:spacing w:after="60" w:before="60"/>
              <w:jc w:val="center"/>
            </w:pPr>
            <w:r>
              <w:rPr>
                <w:rFonts w:ascii="Segoe UI Light" w:hAnsi="Segoe UI Light"/>
                <w:b w:val="0"/>
                <w:sz w:val="18"/>
              </w:rPr>
              <w:t>+24.0 pp</w:t>
            </w:r>
          </w:p>
        </w:tc>
      </w:tr>
      <w:tr>
        <w:trPr>
          <w:cantSplit/>
        </w:trPr>
        <w:tc>
          <w:tcPr>
            <w:tcW w:type="dxa" w:w="4535"/>
            <w:vAlign w:val="center"/>
          </w:tcPr>
          <w:p>
            <w:pPr>
              <w:keepNext/>
              <w:spacing w:after="60" w:before="60"/>
              <w:jc w:val="left"/>
            </w:pPr>
            <w:r>
              <w:rPr>
                <w:rFonts w:ascii="Segoe UI Light" w:hAnsi="Segoe UI Light"/>
                <w:b w:val="0"/>
                <w:sz w:val="18"/>
              </w:rPr>
              <w:t>Recognition (H) + Meaningful Work (H) + Psychological Safety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58.0%</w:t>
            </w:r>
          </w:p>
        </w:tc>
        <w:tc>
          <w:tcPr>
            <w:tcW w:type="dxa" w:w="1700"/>
            <w:vAlign w:val="center"/>
          </w:tcPr>
          <w:p>
            <w:pPr>
              <w:keepNext/>
              <w:spacing w:after="60" w:before="60"/>
              <w:jc w:val="center"/>
            </w:pPr>
            <w:r>
              <w:rPr>
                <w:rFonts w:ascii="Segoe UI Light" w:hAnsi="Segoe UI Light"/>
                <w:b w:val="0"/>
                <w:sz w:val="18"/>
              </w:rPr>
              <w:t>+23.9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Supervisor Support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57.8%</w:t>
            </w:r>
          </w:p>
        </w:tc>
        <w:tc>
          <w:tcPr>
            <w:tcW w:type="dxa" w:w="1700"/>
            <w:shd w:fill="F1F5F9" w:val="clear"/>
            <w:vAlign w:val="center"/>
          </w:tcPr>
          <w:p>
            <w:pPr>
              <w:keepNext/>
              <w:spacing w:after="60" w:before="60"/>
              <w:jc w:val="center"/>
            </w:pPr>
            <w:r>
              <w:rPr>
                <w:rFonts w:ascii="Segoe UI Light" w:hAnsi="Segoe UI Light"/>
                <w:b w:val="0"/>
                <w:sz w:val="18"/>
              </w:rPr>
              <w:t>+23.6 pp</w:t>
            </w:r>
          </w:p>
        </w:tc>
      </w:tr>
      <w:tr>
        <w:trPr>
          <w:cantSplit/>
        </w:trPr>
        <w:tc>
          <w:tcPr>
            <w:tcW w:type="dxa" w:w="4535"/>
            <w:vAlign w:val="center"/>
          </w:tcPr>
          <w:p>
            <w:pPr>
              <w:keepNext w:val="0"/>
              <w:spacing w:after="60" w:before="60"/>
              <w:jc w:val="left"/>
            </w:pPr>
            <w:r>
              <w:rPr>
                <w:rFonts w:ascii="Segoe UI Light" w:hAnsi="Segoe UI Light"/>
                <w:b w:val="0"/>
                <w:sz w:val="18"/>
              </w:rPr>
              <w:t>Supervisor Support (H) + Recognition (H) + Meaningful Work (H)</w:t>
            </w:r>
          </w:p>
        </w:tc>
        <w:tc>
          <w:tcPr>
            <w:tcW w:type="dxa" w:w="1700"/>
            <w:vAlign w:val="center"/>
          </w:tcPr>
          <w:p>
            <w:pPr>
              <w:keepNext w:val="0"/>
              <w:spacing w:after="60" w:before="60"/>
              <w:jc w:val="center"/>
            </w:pPr>
            <w:r>
              <w:rPr>
                <w:rFonts w:ascii="Segoe UI Light" w:hAnsi="Segoe UI Light"/>
                <w:b w:val="0"/>
                <w:sz w:val="18"/>
              </w:rPr>
              <w:t>34.1%</w:t>
            </w:r>
          </w:p>
        </w:tc>
        <w:tc>
          <w:tcPr>
            <w:tcW w:type="dxa" w:w="1700"/>
            <w:vAlign w:val="center"/>
          </w:tcPr>
          <w:p>
            <w:pPr>
              <w:keepNext w:val="0"/>
              <w:spacing w:after="60" w:before="60"/>
              <w:jc w:val="center"/>
            </w:pPr>
            <w:r>
              <w:rPr>
                <w:rFonts w:ascii="Segoe UI Light" w:hAnsi="Segoe UI Light"/>
                <w:b w:val="0"/>
                <w:sz w:val="18"/>
              </w:rPr>
              <w:t>57.5%</w:t>
            </w:r>
          </w:p>
        </w:tc>
        <w:tc>
          <w:tcPr>
            <w:tcW w:type="dxa" w:w="1700"/>
            <w:vAlign w:val="center"/>
          </w:tcPr>
          <w:p>
            <w:pPr>
              <w:keepNext w:val="0"/>
              <w:spacing w:after="60" w:before="60"/>
              <w:jc w:val="center"/>
            </w:pPr>
            <w:r>
              <w:rPr>
                <w:rFonts w:ascii="Segoe UI Light" w:hAnsi="Segoe UI Light"/>
                <w:b w:val="0"/>
                <w:sz w:val="18"/>
              </w:rPr>
              <w:t>+23.3 pp</w:t>
            </w:r>
          </w:p>
        </w:tc>
      </w:tr>
    </w:tbl>
    <w:p>
      <w:pPr>
        <w:pStyle w:val="Heading3"/>
      </w:pPr>
      <w:r>
        <w:rPr>
          <w:rFonts w:ascii="Segoe UI Light" w:hAnsi="Segoe UI Light"/>
          <w:b/>
          <w:color w:val="2D5A8E"/>
          <w:sz w:val="21"/>
        </w:rPr>
        <w:t>Top combined scenarios: Burnout</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Meaningful Work (H)</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66.1%</w:t>
            </w:r>
          </w:p>
        </w:tc>
        <w:tc>
          <w:tcPr>
            <w:tcW w:type="dxa" w:w="1700"/>
            <w:vAlign w:val="center"/>
          </w:tcPr>
          <w:p>
            <w:pPr>
              <w:keepNext/>
              <w:spacing w:after="60" w:before="60"/>
              <w:jc w:val="center"/>
            </w:pPr>
            <w:r>
              <w:rPr>
                <w:rFonts w:ascii="Segoe UI Light" w:hAnsi="Segoe UI Light"/>
                <w:b w:val="0"/>
                <w:sz w:val="18"/>
              </w:rPr>
              <w:t>+32.7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Recognition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65.5%</w:t>
            </w:r>
          </w:p>
        </w:tc>
        <w:tc>
          <w:tcPr>
            <w:tcW w:type="dxa" w:w="1700"/>
            <w:shd w:fill="F1F5F9" w:val="clear"/>
            <w:vAlign w:val="center"/>
          </w:tcPr>
          <w:p>
            <w:pPr>
              <w:keepNext/>
              <w:spacing w:after="60" w:before="60"/>
              <w:jc w:val="center"/>
            </w:pPr>
            <w:r>
              <w:rPr>
                <w:rFonts w:ascii="Segoe UI Light" w:hAnsi="Segoe UI Light"/>
                <w:b w:val="0"/>
                <w:sz w:val="18"/>
              </w:rPr>
              <w:t>+32.1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Work Life Conflict (L)</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64.9%</w:t>
            </w:r>
          </w:p>
        </w:tc>
        <w:tc>
          <w:tcPr>
            <w:tcW w:type="dxa" w:w="1700"/>
            <w:vAlign w:val="center"/>
          </w:tcPr>
          <w:p>
            <w:pPr>
              <w:keepNext/>
              <w:spacing w:after="60" w:before="60"/>
              <w:jc w:val="center"/>
            </w:pPr>
            <w:r>
              <w:rPr>
                <w:rFonts w:ascii="Segoe UI Light" w:hAnsi="Segoe UI Light"/>
                <w:b w:val="0"/>
                <w:sz w:val="18"/>
              </w:rPr>
              <w:t>+31.6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Meaningful Work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64.2%</w:t>
            </w:r>
          </w:p>
        </w:tc>
        <w:tc>
          <w:tcPr>
            <w:tcW w:type="dxa" w:w="1700"/>
            <w:shd w:fill="F1F5F9" w:val="clear"/>
            <w:vAlign w:val="center"/>
          </w:tcPr>
          <w:p>
            <w:pPr>
              <w:keepNext/>
              <w:spacing w:after="60" w:before="60"/>
              <w:jc w:val="center"/>
            </w:pPr>
            <w:r>
              <w:rPr>
                <w:rFonts w:ascii="Segoe UI Light" w:hAnsi="Segoe UI Light"/>
                <w:b w:val="0"/>
                <w:sz w:val="18"/>
              </w:rPr>
              <w:t>+30.8 pp</w:t>
            </w:r>
          </w:p>
        </w:tc>
      </w:tr>
      <w:tr>
        <w:trPr>
          <w:cantSplit/>
        </w:trPr>
        <w:tc>
          <w:tcPr>
            <w:tcW w:type="dxa" w:w="4535"/>
            <w:vAlign w:val="center"/>
          </w:tcPr>
          <w:p>
            <w:pPr>
              <w:keepNext w:val="0"/>
              <w:spacing w:after="60" w:before="60"/>
              <w:jc w:val="left"/>
            </w:pPr>
            <w:r>
              <w:rPr>
                <w:rFonts w:ascii="Segoe UI Light" w:hAnsi="Segoe UI Light"/>
                <w:b w:val="0"/>
                <w:sz w:val="18"/>
              </w:rPr>
              <w:t>Role Overload (L) + Emotional Demand (L) + Procedural Justice (H)</w:t>
            </w:r>
          </w:p>
        </w:tc>
        <w:tc>
          <w:tcPr>
            <w:tcW w:type="dxa" w:w="1700"/>
            <w:vAlign w:val="center"/>
          </w:tcPr>
          <w:p>
            <w:pPr>
              <w:keepNext w:val="0"/>
              <w:spacing w:after="60" w:before="60"/>
              <w:jc w:val="center"/>
            </w:pPr>
            <w:r>
              <w:rPr>
                <w:rFonts w:ascii="Segoe UI Light" w:hAnsi="Segoe UI Light"/>
                <w:b w:val="0"/>
                <w:sz w:val="18"/>
              </w:rPr>
              <w:t>33.3%</w:t>
            </w:r>
          </w:p>
        </w:tc>
        <w:tc>
          <w:tcPr>
            <w:tcW w:type="dxa" w:w="1700"/>
            <w:vAlign w:val="center"/>
          </w:tcPr>
          <w:p>
            <w:pPr>
              <w:keepNext w:val="0"/>
              <w:spacing w:after="60" w:before="60"/>
              <w:jc w:val="center"/>
            </w:pPr>
            <w:r>
              <w:rPr>
                <w:rFonts w:ascii="Segoe UI Light" w:hAnsi="Segoe UI Light"/>
                <w:b w:val="0"/>
                <w:sz w:val="18"/>
              </w:rPr>
              <w:t>63.3%</w:t>
            </w:r>
          </w:p>
        </w:tc>
        <w:tc>
          <w:tcPr>
            <w:tcW w:type="dxa" w:w="1700"/>
            <w:vAlign w:val="center"/>
          </w:tcPr>
          <w:p>
            <w:pPr>
              <w:keepNext w:val="0"/>
              <w:spacing w:after="60" w:before="60"/>
              <w:jc w:val="center"/>
            </w:pPr>
            <w:r>
              <w:rPr>
                <w:rFonts w:ascii="Segoe UI Light" w:hAnsi="Segoe UI Light"/>
                <w:b w:val="0"/>
                <w:sz w:val="18"/>
              </w:rPr>
              <w:t>+30.0 pp</w:t>
            </w:r>
          </w:p>
        </w:tc>
      </w:tr>
    </w:tbl>
    <w:p>
      <w:pPr>
        <w:pStyle w:val="Heading3"/>
      </w:pPr>
      <w:r>
        <w:rPr>
          <w:rFonts w:ascii="Segoe UI Light" w:hAnsi="Segoe UI Light"/>
          <w:b/>
          <w:color w:val="2D5A8E"/>
          <w:sz w:val="21"/>
        </w:rPr>
        <w:t>Top combined scenarios: Psych Distress</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Job Insecurity (L)</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66.8%</w:t>
            </w:r>
          </w:p>
        </w:tc>
        <w:tc>
          <w:tcPr>
            <w:tcW w:type="dxa" w:w="1700"/>
            <w:vAlign w:val="center"/>
          </w:tcPr>
          <w:p>
            <w:pPr>
              <w:keepNext/>
              <w:spacing w:after="60" w:before="60"/>
              <w:jc w:val="center"/>
            </w:pPr>
            <w:r>
              <w:rPr>
                <w:rFonts w:ascii="Segoe UI Light" w:hAnsi="Segoe UI Light"/>
                <w:b w:val="0"/>
                <w:sz w:val="18"/>
              </w:rPr>
              <w:t>+21.4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Work Life Conflict (L)</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64.9%</w:t>
            </w:r>
          </w:p>
        </w:tc>
        <w:tc>
          <w:tcPr>
            <w:tcW w:type="dxa" w:w="1700"/>
            <w:shd w:fill="F1F5F9" w:val="clear"/>
            <w:vAlign w:val="center"/>
          </w:tcPr>
          <w:p>
            <w:pPr>
              <w:keepNext/>
              <w:spacing w:after="60" w:before="60"/>
              <w:jc w:val="center"/>
            </w:pPr>
            <w:r>
              <w:rPr>
                <w:rFonts w:ascii="Segoe UI Light" w:hAnsi="Segoe UI Light"/>
                <w:b w:val="0"/>
                <w:sz w:val="18"/>
              </w:rPr>
              <w:t>+19.5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Meaningful Work (H)</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64.8%</w:t>
            </w:r>
          </w:p>
        </w:tc>
        <w:tc>
          <w:tcPr>
            <w:tcW w:type="dxa" w:w="1700"/>
            <w:vAlign w:val="center"/>
          </w:tcPr>
          <w:p>
            <w:pPr>
              <w:keepNext/>
              <w:spacing w:after="60" w:before="60"/>
              <w:jc w:val="center"/>
            </w:pPr>
            <w:r>
              <w:rPr>
                <w:rFonts w:ascii="Segoe UI Light" w:hAnsi="Segoe UI Light"/>
                <w:b w:val="0"/>
                <w:sz w:val="18"/>
              </w:rPr>
              <w:t>+19.4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Change Consultation (H)</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64.6%</w:t>
            </w:r>
          </w:p>
        </w:tc>
        <w:tc>
          <w:tcPr>
            <w:tcW w:type="dxa" w:w="1700"/>
            <w:shd w:fill="F1F5F9" w:val="clear"/>
            <w:vAlign w:val="center"/>
          </w:tcPr>
          <w:p>
            <w:pPr>
              <w:keepNext/>
              <w:spacing w:after="60" w:before="60"/>
              <w:jc w:val="center"/>
            </w:pPr>
            <w:r>
              <w:rPr>
                <w:rFonts w:ascii="Segoe UI Light" w:hAnsi="Segoe UI Light"/>
                <w:b w:val="0"/>
                <w:sz w:val="18"/>
              </w:rPr>
              <w:t>+19.2 pp</w:t>
            </w:r>
          </w:p>
        </w:tc>
      </w:tr>
      <w:tr>
        <w:trPr>
          <w:cantSplit/>
        </w:trPr>
        <w:tc>
          <w:tcPr>
            <w:tcW w:type="dxa" w:w="4535"/>
            <w:vAlign w:val="center"/>
          </w:tcPr>
          <w:p>
            <w:pPr>
              <w:keepNext w:val="0"/>
              <w:spacing w:after="60" w:before="60"/>
              <w:jc w:val="left"/>
            </w:pPr>
            <w:r>
              <w:rPr>
                <w:rFonts w:ascii="Segoe UI Light" w:hAnsi="Segoe UI Light"/>
                <w:b w:val="0"/>
                <w:sz w:val="18"/>
              </w:rPr>
              <w:t>Role Overload (L) + Work Life Conflict (L) + Recognition (H)</w:t>
            </w:r>
          </w:p>
        </w:tc>
        <w:tc>
          <w:tcPr>
            <w:tcW w:type="dxa" w:w="1700"/>
            <w:vAlign w:val="center"/>
          </w:tcPr>
          <w:p>
            <w:pPr>
              <w:keepNext w:val="0"/>
              <w:spacing w:after="60" w:before="60"/>
              <w:jc w:val="center"/>
            </w:pPr>
            <w:r>
              <w:rPr>
                <w:rFonts w:ascii="Segoe UI Light" w:hAnsi="Segoe UI Light"/>
                <w:b w:val="0"/>
                <w:sz w:val="18"/>
              </w:rPr>
              <w:t>45.4%</w:t>
            </w:r>
          </w:p>
        </w:tc>
        <w:tc>
          <w:tcPr>
            <w:tcW w:type="dxa" w:w="1700"/>
            <w:vAlign w:val="center"/>
          </w:tcPr>
          <w:p>
            <w:pPr>
              <w:keepNext w:val="0"/>
              <w:spacing w:after="60" w:before="60"/>
              <w:jc w:val="center"/>
            </w:pPr>
            <w:r>
              <w:rPr>
                <w:rFonts w:ascii="Segoe UI Light" w:hAnsi="Segoe UI Light"/>
                <w:b w:val="0"/>
                <w:sz w:val="18"/>
              </w:rPr>
              <w:t>64.5%</w:t>
            </w:r>
          </w:p>
        </w:tc>
        <w:tc>
          <w:tcPr>
            <w:tcW w:type="dxa" w:w="1700"/>
            <w:vAlign w:val="center"/>
          </w:tcPr>
          <w:p>
            <w:pPr>
              <w:keepNext w:val="0"/>
              <w:spacing w:after="60" w:before="60"/>
              <w:jc w:val="center"/>
            </w:pPr>
            <w:r>
              <w:rPr>
                <w:rFonts w:ascii="Segoe UI Light" w:hAnsi="Segoe UI Light"/>
                <w:b w:val="0"/>
                <w:sz w:val="18"/>
              </w:rPr>
              <w:t>+19.0 pp</w:t>
            </w:r>
          </w:p>
        </w:tc>
      </w:tr>
    </w:tbl>
    <w:p>
      <w:bookmarkStart w:id="20" w:name="_PWToc20"/>
      <w:pPr>
        <w:pStyle w:val="Heading2"/>
        <w:keepNext/>
        <w:keepLines/>
      </w:pPr>
      <w:r>
        <w:rPr>
          <w:rFonts w:ascii="Segoe UI Light" w:hAnsi="Segoe UI Light"/>
          <w:b/>
          <w:color w:val="2D5A8E"/>
          <w:sz w:val="22"/>
        </w:rPr>
        <w:t>A5 – Methodology and How to Read These Tables</w:t>
      </w:r>
      <w:bookmarkEnd w:id="20"/>
    </w:p>
    <w:p>
      <w:pPr>
        <w:keepNext/>
        <w:keepLines/>
        <w:spacing w:after="120"/>
      </w:pPr>
      <w:r>
        <w:rPr>
          <w:rFonts w:ascii="Segoe UI Light" w:hAnsi="Segoe UI Light"/>
          <w:sz w:val="21"/>
        </w:rPr>
        <w:t>These are estimates from the supplied model. No response-fitting record is available in this export. A sector label alone does not establish a survey source or representative sector observations. The recorded information does not establish a measured baseline for this workplace.</w:t>
      </w:r>
    </w:p>
    <w:p>
      <w:pPr>
        <w:keepNext/>
        <w:keepLines/>
        <w:spacing w:after="120"/>
      </w:pPr>
      <w:r>
        <w:rPr>
          <w:rFonts w:ascii="Segoe UI Light" w:hAnsi="Segoe UI Light"/>
          <w:sz w:val="21"/>
        </w:rPr>
        <w:t>Factors use the state labels recorded in the supplied model; they need not all use the same scale. Scenarios are hypothetical planning comparisons, not promises of achievable change or proof of causation. Changing one factor can also change related factors. Percentages describe the selected state; percentage points describe differences. A summed outcome score is a comparison score, not a percentage of workers.</w:t>
      </w:r>
    </w:p>
    <w:p>
      <w:pPr>
        <w:keepNext/>
        <w:keepLines/>
        <w:spacing w:after="120"/>
      </w:pPr>
      <w:r>
        <w:rPr>
          <w:rFonts w:ascii="Segoe UI Light" w:hAnsi="Segoe UI Light"/>
          <w:sz w:val="21"/>
        </w:rPr>
        <w:t>Numerical uncertainty ranges are not available. Consider answer coverage, the model's source and worker consultation when deciding what to do. Use Data Analytics to explore other factors and scenarios.</w:t>
      </w:r>
    </w:p>
    <w:p>
      <w:pPr>
        <w:keepLines/>
        <w:spacing w:after="120"/>
      </w:pPr>
      <w:r>
        <w:rPr>
          <w:rFonts w:ascii="Segoe UI Light" w:hAnsi="Segoe UI Light"/>
          <w:sz w:val="21"/>
        </w:rPr>
        <w:t>Displayed values are rounded. Complete distributions may not total exactly 100%, and changes or summed scores may differ slightly from calculations using the displayed figures.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