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jc w:val="center"/>
      </w:pPr>
      <w:r>
        <w:rPr>
          <w:rFonts w:ascii="Segoe UI Light" w:hAnsi="Segoe UI Light"/>
          <w:b/>
          <w:color w:val="1E3A5F"/>
          <w:sz w:val="44"/>
        </w:rPr>
        <w:t>Consultation Guide</w:t>
      </w:r>
    </w:p>
    <w:p>
      <w:pPr>
        <w:spacing w:before="80"/>
        <w:jc w:val="center"/>
      </w:pPr>
      <w:r>
        <w:rPr>
          <w:rFonts w:ascii="Segoe UI Light" w:hAnsi="Segoe UI Light"/>
          <w:color w:val="2D5A8E"/>
          <w:sz w:val="24"/>
        </w:rPr>
        <w:t>Follow-up focus group &amp; team check-in guide</w:t>
      </w:r>
    </w:p>
    <w:p>
      <w:pPr>
        <w:spacing w:before="240"/>
        <w:jc w:val="center"/>
      </w:pPr>
      <w:r>
        <w:rPr>
          <w:rFonts w:ascii="Segoe UI Light" w:hAnsi="Segoe UI Light"/>
          <w:color w:val="2D5A8E"/>
          <w:sz w:val="28"/>
        </w:rPr>
        <w:t>Test Org</w:t>
      </w:r>
    </w:p>
    <w:p>
      <w:pPr>
        <w:spacing w:before="400"/>
        <w:jc w:val="center"/>
      </w:pPr>
      <w:r>
        <w:rPr>
          <w:rFonts w:ascii="Segoe UI Light" w:hAnsi="Segoe UI Light"/>
          <w:color w:val="94A3B8"/>
          <w:sz w:val="18"/>
        </w:rPr>
        <w:t>Prepared by: Pat Egan · Date: 27/09/2026</w:t>
      </w:r>
    </w:p>
    <w:p>
      <w:r>
        <w:br w:type="page"/>
      </w:r>
    </w:p>
    <w:p>
      <w:pPr>
        <w:pStyle w:val="Heading1"/>
      </w:pPr>
      <w:r>
        <w:rPr>
          <w:rFonts w:ascii="Segoe UI Light" w:hAnsi="Segoe UI Light"/>
          <w:b/>
          <w:color w:val="1E3A5F"/>
          <w:sz w:val="28"/>
        </w:rPr>
        <w:t>Pulse follow-up check-in guide</w:t>
      </w:r>
    </w:p>
    <w:p>
      <w:pPr>
        <w:spacing w:after="120"/>
      </w:pPr>
      <w:r>
        <w:rPr>
          <w:rFonts w:ascii="Segoe UI Light" w:hAnsi="Segoe UI Light"/>
          <w:sz w:val="21"/>
        </w:rPr>
        <w:t>Test Org’s pulse comparison is more favourable than its recorded model baseline across the five focus areas. These check-ins can clarify remaining pressures, which supports workers value and what might explain the pattern.</w:t>
      </w:r>
    </w:p>
    <w:p>
      <w:pPr>
        <w:pStyle w:val="Heading2"/>
      </w:pPr>
      <w:r>
        <w:rPr>
          <w:rFonts w:ascii="Segoe UI Light" w:hAnsi="Segoe UI Light"/>
          <w:b/>
          <w:color w:val="2D5A8E"/>
          <w:sz w:val="22"/>
        </w:rPr>
        <w:t>Evidence to explain</w:t>
      </w:r>
    </w:p>
    <w:p>
      <w:pPr>
        <w:spacing w:after="120"/>
      </w:pPr>
      <w:r>
        <w:rPr>
          <w:rFonts w:ascii="Segoe UI Light" w:hAnsi="Segoe UI Light"/>
          <w:sz w:val="21"/>
        </w:rPr>
        <w:t>The five factors each have 2,000 records labelled “observed”, but local collection and workforce coverage are undocumented. The recorded General Australian Workforce model baseline has no documented source or response-fitting record. These differences are not verified local improvements or evidence that an initiative worked. Outcomes are model estimates, not direct worker responses. No uncertainty ranges are supplied.</w:t>
      </w:r>
    </w:p>
    <w:p>
      <w:pPr>
        <w:pStyle w:val="Heading2"/>
      </w:pPr>
      <w:r>
        <w:rPr>
          <w:rFonts w:ascii="Segoe UI Light" w:hAnsi="Segoe UI Light"/>
          <w:b/>
          <w:color w:val="2D5A8E"/>
          <w:sz w:val="22"/>
        </w:rPr>
        <w:t>Suggested format for the working group</w:t>
      </w:r>
    </w:p>
    <w:p>
      <w:pPr>
        <w:spacing w:after="120"/>
      </w:pPr>
      <w:r>
        <w:rPr>
          <w:rFonts w:ascii="Segoe UI Light" w:hAnsi="Segoe UI Light"/>
          <w:sz w:val="21"/>
        </w:rPr>
        <w:t>Propose a 25–30 minute check-in: briefly explain the evidence, discuss the five areas, then agree priorities. Allow workers to pass, pause or contribute privately through an agreed route.</w:t>
      </w:r>
    </w:p>
    <w:p>
      <w:pPr>
        <w:spacing w:after="120"/>
      </w:pPr>
      <w:r>
        <w:rPr>
          <w:rFonts w:ascii="Segoe UI Light" w:hAnsi="Segoe UI Light"/>
          <w:sz w:val="21"/>
        </w:rPr>
        <w:t>Before discussion, agree how contributions will be recorded, shared and used. Explain confidentiality limits, including when serious concerns require escalation. Do not promise anonymity within a group. Avoid names and identifying details in shared notes, and check that the summary reflects workers’ views.</w:t>
      </w:r>
    </w:p>
    <w:p>
      <w:pPr>
        <w:spacing w:after="120"/>
      </w:pPr>
      <w:r>
        <w:rPr>
          <w:rFonts w:ascii="Segoe UI Light" w:hAnsi="Segoe UI Light"/>
          <w:sz w:val="21"/>
        </w:rPr>
        <w:t>Suggested opening: “We’re checking how this picture fits your experience. Different experiences matter; there’s no preferred answer.”</w:t>
      </w:r>
    </w:p>
    <w:p>
      <w:pPr>
        <w:pStyle w:val="Heading2"/>
      </w:pPr>
      <w:r>
        <w:rPr>
          <w:rFonts w:ascii="Segoe UI Light" w:hAnsi="Segoe UI Light"/>
          <w:b/>
          <w:color w:val="2D5A8E"/>
          <w:sz w:val="22"/>
        </w:rPr>
        <w:t>1. Work Life Conflict</w:t>
      </w:r>
    </w:p>
    <w:p>
      <w:pPr>
        <w:spacing w:after="120"/>
      </w:pPr>
      <w:r>
        <w:rPr>
          <w:rFonts w:ascii="Segoe UI Light" w:hAnsi="Segoe UI Light"/>
          <w:sz w:val="21"/>
        </w:rPr>
        <w:t>This means work interfering with home life, relationships or responsibilities outside work. The high category was about 3 percentage points lower than baseline, at 17%.</w:t>
      </w:r>
    </w:p>
    <w:p>
      <w:pPr>
        <w:pStyle w:val="ListBullet"/>
        <w:spacing w:after="60"/>
      </w:pPr>
      <w:r>
        <w:rPr>
          <w:rFonts w:ascii="Segoe UI Light" w:hAnsi="Segoe UI Light"/>
          <w:sz w:val="21"/>
        </w:rPr>
        <w:t>“How, if at all, does work affect your life outside work?”</w:t>
      </w:r>
    </w:p>
    <w:p>
      <w:pPr>
        <w:pStyle w:val="ListBullet"/>
        <w:spacing w:after="60"/>
      </w:pPr>
      <w:r>
        <w:rPr>
          <w:rFonts w:ascii="Segoe UI Light" w:hAnsi="Segoe UI Light"/>
          <w:sz w:val="21"/>
        </w:rPr>
        <w:t>“Which work arrangements make this easier or harder, and how does that vary?”</w:t>
      </w:r>
    </w:p>
    <w:p>
      <w:pPr>
        <w:spacing w:after="120"/>
      </w:pPr>
      <w:r>
        <w:rPr>
          <w:rFonts w:ascii="Segoe UI Light" w:hAnsi="Segoe UI Light"/>
          <w:b/>
          <w:sz w:val="21"/>
        </w:rPr>
        <w:t>Use the answers:</w:t>
      </w:r>
      <w:r>
        <w:rPr>
          <w:rFonts w:ascii="Segoe UI Light" w:hAnsi="Segoe UI Light"/>
          <w:sz w:val="21"/>
        </w:rPr>
        <w:t xml:space="preserve"> Distinguish work volume from timing, predictability or availability expectations. This helps decide whether to review priorities, schedules or after-hours arrangements.</w:t>
      </w:r>
    </w:p>
    <w:p>
      <w:pPr>
        <w:pStyle w:val="Heading2"/>
      </w:pPr>
      <w:r>
        <w:rPr>
          <w:rFonts w:ascii="Segoe UI Light" w:hAnsi="Segoe UI Light"/>
          <w:b/>
          <w:color w:val="2D5A8E"/>
          <w:sz w:val="22"/>
        </w:rPr>
        <w:t>2. Role Overload</w:t>
      </w:r>
    </w:p>
    <w:p>
      <w:pPr>
        <w:spacing w:after="120"/>
      </w:pPr>
      <w:r>
        <w:rPr>
          <w:rFonts w:ascii="Segoe UI Light" w:hAnsi="Segoe UI Light"/>
          <w:sz w:val="21"/>
        </w:rPr>
        <w:t>This concerns work volume, pace and time pressure. The high category was about 11 percentage points lower, at 14%.</w:t>
      </w:r>
    </w:p>
    <w:p>
      <w:pPr>
        <w:pStyle w:val="ListBullet"/>
        <w:spacing w:after="60"/>
      </w:pPr>
      <w:r>
        <w:rPr>
          <w:rFonts w:ascii="Segoe UI Light" w:hAnsi="Segoe UI Light"/>
          <w:sz w:val="21"/>
        </w:rPr>
        <w:t>“How well does the work expected of you fit the time and resources available?”</w:t>
      </w:r>
    </w:p>
    <w:p>
      <w:pPr>
        <w:pStyle w:val="ListBullet"/>
        <w:spacing w:after="60"/>
      </w:pPr>
      <w:r>
        <w:rPr>
          <w:rFonts w:ascii="Segoe UI Light" w:hAnsi="Segoe UI Light"/>
          <w:sz w:val="21"/>
        </w:rPr>
        <w:t>“Where does pressure arise, if anywhere, and what happens to work that cannot be completed?”</w:t>
      </w:r>
    </w:p>
    <w:p>
      <w:pPr>
        <w:spacing w:after="120"/>
      </w:pPr>
      <w:r>
        <w:rPr>
          <w:rFonts w:ascii="Segoe UI Light" w:hAnsi="Segoe UI Light"/>
          <w:b/>
          <w:sz w:val="21"/>
        </w:rPr>
        <w:t>Use the answers:</w:t>
      </w:r>
      <w:r>
        <w:rPr>
          <w:rFonts w:ascii="Segoe UI Light" w:hAnsi="Segoe UI Light"/>
          <w:sz w:val="21"/>
        </w:rPr>
        <w:t xml:space="preserve"> Identify tasks, deadlines or capacity needing review. Check whether proposed relief would transfer workload to other workers or shifts.</w:t>
      </w:r>
    </w:p>
    <w:p>
      <w:pPr>
        <w:pStyle w:val="Heading2"/>
      </w:pPr>
      <w:r>
        <w:rPr>
          <w:rFonts w:ascii="Segoe UI Light" w:hAnsi="Segoe UI Light"/>
          <w:b/>
          <w:color w:val="2D5A8E"/>
          <w:sz w:val="22"/>
        </w:rPr>
        <w:t>3. Emotional Demand</w:t>
      </w:r>
    </w:p>
    <w:p>
      <w:pPr>
        <w:spacing w:after="120"/>
      </w:pPr>
      <w:r>
        <w:rPr>
          <w:rFonts w:ascii="Segoe UI Light" w:hAnsi="Segoe UI Light"/>
          <w:sz w:val="21"/>
        </w:rPr>
        <w:t>This concerns the emotional effort required by work and difficult interactions. The high category was about 19 percentage points lower, at 2%; the medium category was 14 points higher, at 48%. Medium does not itself mean harm.</w:t>
      </w:r>
    </w:p>
    <w:p>
      <w:pPr>
        <w:pStyle w:val="ListBullet"/>
        <w:spacing w:after="60"/>
      </w:pPr>
      <w:r>
        <w:rPr>
          <w:rFonts w:ascii="Segoe UI Light" w:hAnsi="Segoe UI Light"/>
          <w:sz w:val="21"/>
        </w:rPr>
        <w:t>“What emotional demands arise in your work, if any?”</w:t>
      </w:r>
    </w:p>
    <w:p>
      <w:pPr>
        <w:pStyle w:val="ListBullet"/>
        <w:spacing w:after="60"/>
      </w:pPr>
      <w:r>
        <w:rPr>
          <w:rFonts w:ascii="Segoe UI Light" w:hAnsi="Segoe UI Light"/>
          <w:sz w:val="21"/>
        </w:rPr>
        <w:t>“What support is available, how useful is it, and what might explain the recorded pattern?”</w:t>
      </w:r>
    </w:p>
    <w:p>
      <w:pPr>
        <w:spacing w:after="120"/>
      </w:pPr>
      <w:r>
        <w:rPr>
          <w:rFonts w:ascii="Segoe UI Light" w:hAnsi="Segoe UI Light"/>
          <w:b/>
          <w:sz w:val="21"/>
        </w:rPr>
        <w:t>Use the answers:</w:t>
      </w:r>
      <w:r>
        <w:rPr>
          <w:rFonts w:ascii="Segoe UI Light" w:hAnsi="Segoe UI Light"/>
          <w:sz w:val="21"/>
        </w:rPr>
        <w:t xml:space="preserve"> Explore demands and access to support before changing protections. Depending on experience, review escalation arrangements or recovery time; do not remove useful support because the high category is small.</w:t>
      </w:r>
    </w:p>
    <w:p>
      <w:pPr>
        <w:pStyle w:val="Heading2"/>
      </w:pPr>
      <w:r>
        <w:rPr>
          <w:rFonts w:ascii="Segoe UI Light" w:hAnsi="Segoe UI Light"/>
          <w:b/>
          <w:color w:val="2D5A8E"/>
          <w:sz w:val="22"/>
        </w:rPr>
        <w:t>4. Job Control</w:t>
      </w:r>
    </w:p>
    <w:p>
      <w:pPr>
        <w:spacing w:after="120"/>
      </w:pPr>
      <w:r>
        <w:rPr>
          <w:rFonts w:ascii="Segoe UI Light" w:hAnsi="Segoe UI Light"/>
          <w:sz w:val="21"/>
        </w:rPr>
        <w:t>This means influence over how, when and in what order work is done. The high category was about 17 percentage points higher, at 45%.</w:t>
      </w:r>
    </w:p>
    <w:p>
      <w:pPr>
        <w:pStyle w:val="ListBullet"/>
        <w:spacing w:after="60"/>
      </w:pPr>
      <w:r>
        <w:rPr>
          <w:rFonts w:ascii="Segoe UI Light" w:hAnsi="Segoe UI Light"/>
          <w:sz w:val="21"/>
        </w:rPr>
        <w:t>“Which decisions can you genuinely influence?”</w:t>
      </w:r>
    </w:p>
    <w:p>
      <w:pPr>
        <w:pStyle w:val="ListBullet"/>
        <w:spacing w:after="60"/>
      </w:pPr>
      <w:r>
        <w:rPr>
          <w:rFonts w:ascii="Segoe UI Light" w:hAnsi="Segoe UI Light"/>
          <w:sz w:val="21"/>
        </w:rPr>
        <w:t>“Where would more or different discretion help, and which existing choices should be protected?”</w:t>
      </w:r>
    </w:p>
    <w:p>
      <w:pPr>
        <w:spacing w:after="120"/>
      </w:pPr>
      <w:r>
        <w:rPr>
          <w:rFonts w:ascii="Segoe UI Light" w:hAnsi="Segoe UI Light"/>
          <w:b/>
          <w:sz w:val="21"/>
        </w:rPr>
        <w:t>Use the answers:</w:t>
      </w:r>
      <w:r>
        <w:rPr>
          <w:rFonts w:ascii="Segoe UI Light" w:hAnsi="Segoe UI Light"/>
          <w:sz w:val="21"/>
        </w:rPr>
        <w:t xml:space="preserve"> Preserve valued flexibility while checking that responsibility comes with practical authority and resources.</w:t>
      </w:r>
    </w:p>
    <w:p>
      <w:pPr>
        <w:pStyle w:val="Heading2"/>
      </w:pPr>
      <w:r>
        <w:rPr>
          <w:rFonts w:ascii="Segoe UI Light" w:hAnsi="Segoe UI Light"/>
          <w:b/>
          <w:color w:val="2D5A8E"/>
          <w:sz w:val="22"/>
        </w:rPr>
        <w:t>5. Recognition</w:t>
      </w:r>
    </w:p>
    <w:p>
      <w:pPr>
        <w:spacing w:after="120"/>
      </w:pPr>
      <w:r>
        <w:rPr>
          <w:rFonts w:ascii="Segoe UI Light" w:hAnsi="Segoe UI Light"/>
          <w:sz w:val="21"/>
        </w:rPr>
        <w:t>This includes feedback, acknowledgement and fair access to rewards or opportunities. The high category was about 10 percentage points higher, at 60%.</w:t>
      </w:r>
    </w:p>
    <w:p>
      <w:pPr>
        <w:pStyle w:val="ListBullet"/>
        <w:spacing w:after="60"/>
      </w:pPr>
      <w:r>
        <w:rPr>
          <w:rFonts w:ascii="Segoe UI Light" w:hAnsi="Segoe UI Light"/>
          <w:sz w:val="21"/>
        </w:rPr>
        <w:t>“What acknowledgement or feedback feels useful and credible?”</w:t>
      </w:r>
    </w:p>
    <w:p>
      <w:pPr>
        <w:pStyle w:val="ListBullet"/>
        <w:spacing w:after="60"/>
      </w:pPr>
      <w:r>
        <w:rPr>
          <w:rFonts w:ascii="Segoe UI Light" w:hAnsi="Segoe UI Light"/>
          <w:sz w:val="21"/>
        </w:rPr>
        <w:t>“How does access vary across work, shifts or groups, if at all?”</w:t>
      </w:r>
    </w:p>
    <w:p>
      <w:pPr>
        <w:spacing w:after="120"/>
      </w:pPr>
      <w:r>
        <w:rPr>
          <w:rFonts w:ascii="Segoe UI Light" w:hAnsi="Segoe UI Light"/>
          <w:b/>
          <w:sz w:val="21"/>
        </w:rPr>
        <w:t>Use the answers:</w:t>
      </w:r>
      <w:r>
        <w:rPr>
          <w:rFonts w:ascii="Segoe UI Light" w:hAnsi="Segoe UI Light"/>
          <w:sz w:val="21"/>
        </w:rPr>
        <w:t xml:space="preserve"> Review gaps and preserve valued practices. Recognition should not replace addressing excessive demands.</w:t>
      </w:r>
    </w:p>
    <w:p>
      <w:pPr>
        <w:pStyle w:val="Heading2"/>
      </w:pPr>
      <w:r>
        <w:rPr>
          <w:rFonts w:ascii="Segoe UI Light" w:hAnsi="Segoe UI Light"/>
          <w:b/>
          <w:color w:val="2D5A8E"/>
          <w:sz w:val="22"/>
        </w:rPr>
        <w:t>Close and act</w:t>
      </w:r>
    </w:p>
    <w:p>
      <w:pPr>
        <w:spacing w:after="120"/>
      </w:pPr>
      <w:r>
        <w:rPr>
          <w:rFonts w:ascii="Segoe UI Light" w:hAnsi="Segoe UI Light"/>
          <w:sz w:val="21"/>
        </w:rPr>
        <w:t>Agree a short, de-identified summary, proposed actions, owners and feedback dates. Fit proposals to existing work, authority and capacity. Suggest an implementation check after 2–4 weeks and a comparable pulse 8–12 weeks after changes begin.</w:t>
      </w:r>
    </w:p>
    <w:p>
      <w:pPr>
        <w:spacing w:after="120"/>
      </w:pPr>
      <w:r>
        <w:rPr>
          <w:rFonts w:ascii="Segoe UI Light" w:hAnsi="Segoe UI Light"/>
          <w:b/>
          <w:sz w:val="21"/>
        </w:rPr>
        <w:t>Facilitator note:</w:t>
      </w:r>
      <w:r>
        <w:rPr>
          <w:rFonts w:ascii="Segoe UI Light" w:hAnsi="Segoe UI Light"/>
          <w:sz w:val="21"/>
        </w:rPr>
        <w:t xml:space="preserve"> Use the agreed escalation process promptly for serious concerns, with protective action where harm is established. Do not wait for another survey. Avoid investigating personal allegations in the group.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egoe UI Light" w:hAnsi="Segoe UI Light"/>
        <w:color w:val="94A3B8"/>
        <w:sz w:val="16"/>
      </w:rPr>
      <w:t xml:space="preserve">Test Org  ·  </w:t>
    </w:r>
    <w:r>
      <w:rPr>
        <w:rFonts w:ascii="Segoe UI Light" w:hAnsi="Segoe UI Light"/>
        <w:color w:val="94A3B8"/>
        <w:sz w:val="16"/>
      </w:rPr>
      <w:t xml:space="preserve">Page </w:t>
    </w:r>
    <w:r>
      <w:rPr>
        <w:rFonts w:ascii="Segoe UI Light" w:hAnsi="Segoe UI Light"/>
        <w:color w:val="94A3B8"/>
        <w:sz w:val="16"/>
      </w:rPr>
      <w:fldChar w:fldCharType="begin"/>
    </w:r>
    <w:r>
      <w:rPr>
        <w:rFonts w:ascii="Segoe UI Light" w:hAnsi="Segoe UI Light"/>
        <w:color w:val="94A3B8"/>
        <w:sz w:val="16"/>
      </w:rPr>
      <w:instrText xml:space="preserve"> PAGE </w:instrText>
    </w:r>
    <w:r>
      <w:rPr>
        <w:rFonts w:ascii="Segoe UI Light" w:hAnsi="Segoe UI Light"/>
        <w:color w:val="94A3B8"/>
        <w:sz w:val="16"/>
      </w:rPr>
      <w:fldChar w:fldCharType="end"/>
    </w:r>
    <w:r>
      <w:rPr>
        <w:rFonts w:ascii="Segoe UI Light" w:hAnsi="Segoe UI Light"/>
        <w:color w:val="94A3B8"/>
        <w:sz w:val="16"/>
      </w:rPr>
      <w:t xml:space="preserve">  ·  Prior Work  ·  priorwork.au  ·  © 2026 Prior Work. Released under CC BY-NC-SA 4.0.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/>
    </w:pPr>
    <w:rPr>
      <w:rFonts w:ascii="Segoe UI Light" w:hAnsi="Segoe UI Ligh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Segoe UI Light" w:hAnsi="Segoe UI Light"/>
      <w:b/>
      <w:bCs/>
      <w:color w:val="1E3A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Segoe UI Light" w:hAnsi="Segoe UI Light"/>
      <w:b/>
      <w:bCs/>
      <w:color w:val="2D5A8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after="120"/>
      <w:ind w:left="340" w:right="227"/>
    </w:pPr>
    <w:rPr>
      <w:rFonts w:ascii="Segoe UI Light" w:hAnsi="Segoe UI Light"/>
      <w:i w:val="0"/>
      <w:iCs/>
      <w:color w:val="1F2937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