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jc w:val="center"/>
      </w:pPr>
      <w:r>
        <w:rPr>
          <w:rFonts w:ascii="Segoe UI Light" w:hAnsi="Segoe UI Light"/>
          <w:b/>
          <w:color w:val="1E3A5F"/>
          <w:sz w:val="44"/>
        </w:rPr>
        <w:t>Consultation Guide</w:t>
      </w:r>
    </w:p>
    <w:p>
      <w:pPr>
        <w:spacing w:before="80"/>
        <w:jc w:val="center"/>
      </w:pPr>
      <w:r>
        <w:rPr>
          <w:rFonts w:ascii="Segoe UI Light" w:hAnsi="Segoe UI Light"/>
          <w:color w:val="2D5A8E"/>
          <w:sz w:val="24"/>
        </w:rPr>
        <w:t>Follow-up focus group &amp; team check-in guide</w:t>
      </w:r>
    </w:p>
    <w:p>
      <w:pPr>
        <w:spacing w:before="240"/>
        <w:jc w:val="center"/>
      </w:pPr>
      <w:r>
        <w:rPr>
          <w:rFonts w:ascii="Segoe UI Light" w:hAnsi="Segoe UI Light"/>
          <w:color w:val="2D5A8E"/>
          <w:sz w:val="28"/>
        </w:rPr>
        <w:t>Test Org</w:t>
      </w:r>
    </w:p>
    <w:p>
      <w:pPr>
        <w:spacing w:before="400"/>
        <w:jc w:val="center"/>
      </w:pPr>
      <w:r>
        <w:rPr>
          <w:rFonts w:ascii="Segoe UI Light" w:hAnsi="Segoe UI Light"/>
          <w:color w:val="94A3B8"/>
          <w:sz w:val="18"/>
        </w:rPr>
        <w:t>Prepared by: Pat Egan · Date: 25/09/2026</w:t>
      </w:r>
    </w:p>
    <w:p>
      <w:r>
        <w:br w:type="page"/>
      </w:r>
    </w:p>
    <w:p>
      <w:pPr>
        <w:pStyle w:val="Heading1"/>
      </w:pPr>
      <w:r>
        <w:rPr>
          <w:rFonts w:ascii="Segoe UI Light" w:hAnsi="Segoe UI Light"/>
          <w:b/>
          <w:color w:val="1E3A5F"/>
          <w:sz w:val="28"/>
        </w:rPr>
        <w:t>Test Org: worker consultation guide</w:t>
      </w:r>
    </w:p>
    <w:p>
      <w:pPr>
        <w:spacing w:after="120"/>
      </w:pPr>
      <w:r>
        <w:rPr>
          <w:rFonts w:ascii="Segoe UI Light" w:hAnsi="Segoe UI Light"/>
          <w:sz w:val="21"/>
        </w:rPr>
        <w:t>Test Org’s assessment aims to prevent work-related harm and strengthen supportive working conditions. The report suggests investigating excessive demands while protecting valued work and strengthening recognition. Workers’ experience can clarify local concerns, existing strengths and workable changes.</w:t>
      </w:r>
    </w:p>
    <w:p>
      <w:pPr>
        <w:spacing w:after="120"/>
      </w:pPr>
      <w:r>
        <w:rPr>
          <w:rFonts w:ascii="Segoe UI Light" w:hAnsi="Segoe UI Light"/>
          <w:sz w:val="21"/>
        </w:rPr>
        <w:t>The supplied General Australian Workforce model has an unrecorded data source, no recorded fit to Test Org responses and no available prediction checks. Its estimates are not a local baseline. Scenarios assume everyone experiences the specified conditions; they are not worker reports or forecasts of what proposed changes will achieve.</w:t>
      </w:r>
    </w:p>
    <w:p>
      <w:pPr>
        <w:pStyle w:val="Heading2"/>
      </w:pPr>
      <w:r>
        <w:rPr>
          <w:rFonts w:ascii="Segoe UI Light" w:hAnsi="Segoe UI Light"/>
          <w:b/>
          <w:color w:val="2D5A8E"/>
          <w:sz w:val="22"/>
        </w:rPr>
        <w:t>Working group: arrange sessions across teams</w:t>
      </w:r>
    </w:p>
    <w:p>
      <w:pPr>
        <w:spacing w:after="120"/>
      </w:pPr>
      <w:r>
        <w:rPr>
          <w:rFonts w:ascii="Segoe UI Light" w:hAnsi="Segoe UI Light"/>
          <w:sz w:val="21"/>
        </w:rPr>
        <w:t>Establish these arrangements before consultation:</w:t>
      </w:r>
    </w:p>
    <w:p>
      <w:pPr>
        <w:pStyle w:val="ListBullet"/>
        <w:spacing w:after="60"/>
      </w:pPr>
      <w:r>
        <w:rPr>
          <w:rFonts w:ascii="Segoe UI Light" w:hAnsi="Segoe UI Light"/>
          <w:sz w:val="21"/>
        </w:rPr>
        <w:t>Plan groups of around 6–8 workers for 75 minutes: 10 minutes opening, 50 minutes on the five topics and 15 minutes closing.</w:t>
      </w:r>
    </w:p>
    <w:p>
      <w:pPr>
        <w:pStyle w:val="ListBullet"/>
        <w:spacing w:after="60"/>
      </w:pPr>
      <w:r>
        <w:rPr>
          <w:rFonts w:ascii="Segoe UI Light" w:hAnsi="Segoe UI Light"/>
          <w:sz w:val="21"/>
        </w:rPr>
        <w:t>Include relevant teams, roles and work patterns. Agree paid participation time, coverage and access needs. Consider separate sessions for managers and workers where reporting relationships could inhibit discussion.</w:t>
      </w:r>
    </w:p>
    <w:p>
      <w:pPr>
        <w:pStyle w:val="ListBullet"/>
        <w:spacing w:after="60"/>
      </w:pPr>
      <w:r>
        <w:rPr>
          <w:rFonts w:ascii="Segoe UI Light" w:hAnsi="Segoe UI Light"/>
          <w:sz w:val="21"/>
        </w:rPr>
        <w:t>Confirm who can act on concerns, an urgent escalation route and available support. Establish a private route for contributions outside the group.</w:t>
      </w:r>
    </w:p>
    <w:p>
      <w:pPr>
        <w:pStyle w:val="ListBullet"/>
        <w:spacing w:after="60"/>
      </w:pPr>
      <w:r>
        <w:rPr>
          <w:rFonts w:ascii="Segoe UI Light" w:hAnsi="Segoe UI Light"/>
          <w:sz w:val="21"/>
        </w:rPr>
        <w:t>At opening, agree how contributions will be recorded, who sees notes and how themes will be used and reported back. Explain confidentiality limits, including possible identification in small groups and when safety concerns require escalation. Ask participants not to repeat others’ accounts; confidentiality cannot be guaranteed.</w:t>
      </w:r>
    </w:p>
    <w:p>
      <w:pPr>
        <w:pStyle w:val="ListBullet"/>
        <w:spacing w:after="60"/>
      </w:pPr>
      <w:r>
        <w:rPr>
          <w:rFonts w:ascii="Segoe UI Light" w:hAnsi="Segoe UI Light"/>
          <w:sz w:val="21"/>
        </w:rPr>
        <w:t>Invite workers to pass, take breaks or follow up privately. Avoid names and personal health disclosures. If serious harm or immediate danger is raised, pause, check safety privately and use the agreed escalation route promptly. Do not investigate allegations in the group. Confirmed harmful conditions should not wait for consultation to finish.</w:t>
      </w:r>
    </w:p>
    <w:p>
      <w:pPr>
        <w:pStyle w:val="Heading2"/>
      </w:pPr>
      <w:r>
        <w:rPr>
          <w:rFonts w:ascii="Segoe UI Light" w:hAnsi="Segoe UI Light"/>
          <w:b/>
          <w:color w:val="2D5A8E"/>
          <w:sz w:val="22"/>
        </w:rPr>
        <w:t>Discussion questions: 50 minutes</w:t>
      </w:r>
    </w:p>
    <w:p>
      <w:pPr>
        <w:spacing w:after="120"/>
      </w:pPr>
      <w:r>
        <w:rPr>
          <w:rFonts w:ascii="Segoe UI Light" w:hAnsi="Segoe UI Light"/>
          <w:sz w:val="21"/>
        </w:rPr>
        <w:t>Use the same core questions across teams. Ask for everyday examples and possible explanations, without names. Welcome different views rather than seeking agreement.</w:t>
      </w:r>
    </w:p>
    <w:p>
      <w:pPr>
        <w:pStyle w:val="Heading3"/>
      </w:pPr>
      <w:r>
        <w:rPr>
          <w:rFonts w:ascii="Segoe UI Light" w:hAnsi="Segoe UI Light"/>
          <w:b/>
          <w:color w:val="2D5A8E"/>
          <w:sz w:val="21"/>
        </w:rPr>
        <w:t>1. Role Overload</w:t>
      </w:r>
    </w:p>
    <w:p>
      <w:pPr>
        <w:spacing w:after="120"/>
      </w:pPr>
      <w:r>
        <w:rPr>
          <w:rFonts w:ascii="Segoe UI Light" w:hAnsi="Segoe UI Light"/>
          <w:sz w:val="21"/>
        </w:rPr>
        <w:t>This means the amount, pace or time pressure of work exceeds what a worker can reasonably manage.</w:t>
      </w:r>
    </w:p>
    <w:p>
      <w:pPr>
        <w:pStyle w:val="ListBullet"/>
        <w:spacing w:after="60"/>
      </w:pPr>
      <w:r>
        <w:rPr>
          <w:rFonts w:ascii="Segoe UI Light" w:hAnsi="Segoe UI Light"/>
          <w:sz w:val="21"/>
        </w:rPr>
        <w:t>When is work manageable, and when, if ever, is it hard to complete?</w:t>
      </w:r>
    </w:p>
    <w:p>
      <w:pPr>
        <w:pStyle w:val="ListBullet"/>
        <w:spacing w:after="60"/>
      </w:pPr>
      <w:r>
        <w:rPr>
          <w:rFonts w:ascii="Segoe UI Light" w:hAnsi="Segoe UI Light"/>
          <w:sz w:val="21"/>
        </w:rPr>
        <w:t>What differs between those situations?</w:t>
      </w:r>
    </w:p>
    <w:p>
      <w:pPr>
        <w:pStyle w:val="ListBullet"/>
        <w:spacing w:after="60"/>
      </w:pPr>
      <w:r>
        <w:rPr>
          <w:rFonts w:ascii="Segoe UI Light" w:hAnsi="Segoe UI Light"/>
          <w:sz w:val="21"/>
        </w:rPr>
        <w:t>What could change, and which useful tasks or supports should remain?</w:t>
      </w:r>
    </w:p>
    <w:p>
      <w:pPr>
        <w:spacing w:after="120"/>
      </w:pPr>
      <w:r>
        <w:rPr>
          <w:rFonts w:ascii="Segoe UI Light" w:hAnsi="Segoe UI Light"/>
          <w:b/>
          <w:sz w:val="21"/>
        </w:rPr>
        <w:t>Next decision:</w:t>
      </w:r>
      <w:r>
        <w:rPr>
          <w:rFonts w:ascii="Segoe UI Light" w:hAnsi="Segoe UI Light"/>
          <w:sz w:val="21"/>
        </w:rPr>
        <w:t xml:space="preserve"> Use answers to review priorities, deadlines and capacity. Check whether changes would move excessive demands elsewhere or remove valued tasks. The report’s low-overload scenario includes a small engagement trade-off, so monitor engagement during redesign rather than retaining excessive demands.</w:t>
      </w:r>
    </w:p>
    <w:p>
      <w:pPr>
        <w:pStyle w:val="Heading3"/>
      </w:pPr>
      <w:r>
        <w:rPr>
          <w:rFonts w:ascii="Segoe UI Light" w:hAnsi="Segoe UI Light"/>
          <w:b/>
          <w:color w:val="2D5A8E"/>
          <w:sz w:val="21"/>
        </w:rPr>
        <w:t>2. Meaningful Work</w:t>
      </w:r>
    </w:p>
    <w:p>
      <w:pPr>
        <w:spacing w:after="120"/>
      </w:pPr>
      <w:r>
        <w:rPr>
          <w:rFonts w:ascii="Segoe UI Light" w:hAnsi="Segoe UI Light"/>
          <w:sz w:val="21"/>
        </w:rPr>
        <w:t>This means work feels purposeful and worthwhile, uses workers’ strengths and makes their contribution clear.</w:t>
      </w:r>
    </w:p>
    <w:p>
      <w:pPr>
        <w:pStyle w:val="ListBullet"/>
        <w:spacing w:after="60"/>
      </w:pPr>
      <w:r>
        <w:rPr>
          <w:rFonts w:ascii="Segoe UI Light" w:hAnsi="Segoe UI Light"/>
          <w:sz w:val="21"/>
        </w:rPr>
        <w:t>Which parts of work feel worthwhile to you, and which less so?</w:t>
      </w:r>
    </w:p>
    <w:p>
      <w:pPr>
        <w:pStyle w:val="ListBullet"/>
        <w:spacing w:after="60"/>
      </w:pPr>
      <w:r>
        <w:rPr>
          <w:rFonts w:ascii="Segoe UI Light" w:hAnsi="Segoe UI Light"/>
          <w:sz w:val="21"/>
        </w:rPr>
        <w:t>How well does the work let you use your strengths and see your contribution?</w:t>
      </w:r>
    </w:p>
    <w:p>
      <w:pPr>
        <w:pStyle w:val="ListBullet"/>
        <w:spacing w:after="60"/>
      </w:pPr>
      <w:r>
        <w:rPr>
          <w:rFonts w:ascii="Segoe UI Light" w:hAnsi="Segoe UI Light"/>
          <w:sz w:val="21"/>
        </w:rPr>
        <w:t>What would you want preserved or changed if tasks were redesigned?</w:t>
      </w:r>
    </w:p>
    <w:p>
      <w:pPr>
        <w:spacing w:after="120"/>
      </w:pPr>
      <w:r>
        <w:rPr>
          <w:rFonts w:ascii="Segoe UI Light" w:hAnsi="Segoe UI Light"/>
          <w:b/>
          <w:sz w:val="21"/>
        </w:rPr>
        <w:t>Next decision:</w:t>
      </w:r>
      <w:r>
        <w:rPr>
          <w:rFonts w:ascii="Segoe UI Light" w:hAnsi="Segoe UI Light"/>
          <w:sz w:val="21"/>
        </w:rPr>
        <w:t xml:space="preserve"> Identify valued responsibilities to protect and tasks whose purpose or usefulness needs examination. Consider removing unnecessary work or clarifying purpose, without adding responsibilities beyond available work time.</w:t>
      </w:r>
    </w:p>
    <w:p>
      <w:pPr>
        <w:pStyle w:val="Heading3"/>
      </w:pPr>
      <w:r>
        <w:rPr>
          <w:rFonts w:ascii="Segoe UI Light" w:hAnsi="Segoe UI Light"/>
          <w:b/>
          <w:color w:val="2D5A8E"/>
          <w:sz w:val="21"/>
        </w:rPr>
        <w:t>3. Work Life Conflict</w:t>
      </w:r>
    </w:p>
    <w:p>
      <w:pPr>
        <w:spacing w:after="120"/>
      </w:pPr>
      <w:r>
        <w:rPr>
          <w:rFonts w:ascii="Segoe UI Light" w:hAnsi="Segoe UI Light"/>
          <w:sz w:val="21"/>
        </w:rPr>
        <w:t>This means work interferes with home life, relationships or other responsibilities.</w:t>
      </w:r>
    </w:p>
    <w:p>
      <w:pPr>
        <w:pStyle w:val="ListBullet"/>
        <w:spacing w:after="60"/>
      </w:pPr>
      <w:r>
        <w:rPr>
          <w:rFonts w:ascii="Segoe UI Light" w:hAnsi="Segoe UI Light"/>
          <w:sz w:val="21"/>
        </w:rPr>
        <w:t>How, if at all, do work arrangements affect life outside work?</w:t>
      </w:r>
    </w:p>
    <w:p>
      <w:pPr>
        <w:pStyle w:val="ListBullet"/>
        <w:spacing w:after="60"/>
      </w:pPr>
      <w:r>
        <w:rPr>
          <w:rFonts w:ascii="Segoe UI Light" w:hAnsi="Segoe UI Light"/>
          <w:sz w:val="21"/>
        </w:rPr>
        <w:t>What expectations around hours, availability or schedule changes do you experience?</w:t>
      </w:r>
    </w:p>
    <w:p>
      <w:pPr>
        <w:pStyle w:val="ListBullet"/>
        <w:spacing w:after="60"/>
      </w:pPr>
      <w:r>
        <w:rPr>
          <w:rFonts w:ascii="Segoe UI Light" w:hAnsi="Segoe UI Light"/>
          <w:sz w:val="21"/>
        </w:rPr>
        <w:t>Which arrangements help, and what changes, if any, would make a difference?</w:t>
      </w:r>
    </w:p>
    <w:p>
      <w:pPr>
        <w:spacing w:after="120"/>
      </w:pPr>
      <w:r>
        <w:rPr>
          <w:rFonts w:ascii="Segoe UI Light" w:hAnsi="Segoe UI Light"/>
          <w:b/>
          <w:sz w:val="21"/>
        </w:rPr>
        <w:t>Next decision:</w:t>
      </w:r>
      <w:r>
        <w:rPr>
          <w:rFonts w:ascii="Segoe UI Light" w:hAnsi="Segoe UI Light"/>
          <w:sz w:val="21"/>
        </w:rPr>
        <w:t xml:space="preserve"> Establish whether concerns relate to workload, scheduling, contact expectations or something else. Answers can guide demand, notice, availability or coverage decisions. Better schedule notice alone may not resolve work that still requires excessive hours.</w:t>
      </w:r>
    </w:p>
    <w:p>
      <w:pPr>
        <w:pStyle w:val="Heading3"/>
      </w:pPr>
      <w:r>
        <w:rPr>
          <w:rFonts w:ascii="Segoe UI Light" w:hAnsi="Segoe UI Light"/>
          <w:b/>
          <w:color w:val="2D5A8E"/>
          <w:sz w:val="21"/>
        </w:rPr>
        <w:t>4. Recognition</w:t>
      </w:r>
    </w:p>
    <w:p>
      <w:pPr>
        <w:spacing w:after="120"/>
      </w:pPr>
      <w:r>
        <w:rPr>
          <w:rFonts w:ascii="Segoe UI Light" w:hAnsi="Segoe UI Light"/>
          <w:sz w:val="21"/>
        </w:rPr>
        <w:t>This includes feedback and acknowledgement, fair pay and opportunities to progress.</w:t>
      </w:r>
    </w:p>
    <w:p>
      <w:pPr>
        <w:pStyle w:val="ListBullet"/>
        <w:spacing w:after="60"/>
      </w:pPr>
      <w:r>
        <w:rPr>
          <w:rFonts w:ascii="Segoe UI Light" w:hAnsi="Segoe UI Light"/>
          <w:sz w:val="21"/>
        </w:rPr>
        <w:t>How is contribution recognised here, if at all?</w:t>
      </w:r>
    </w:p>
    <w:p>
      <w:pPr>
        <w:pStyle w:val="ListBullet"/>
        <w:spacing w:after="60"/>
      </w:pPr>
      <w:r>
        <w:rPr>
          <w:rFonts w:ascii="Segoe UI Light" w:hAnsi="Segoe UI Light"/>
          <w:sz w:val="21"/>
        </w:rPr>
        <w:t>What feels fair and useful, and what feels less so?</w:t>
      </w:r>
    </w:p>
    <w:p>
      <w:pPr>
        <w:pStyle w:val="ListBullet"/>
        <w:spacing w:after="60"/>
      </w:pPr>
      <w:r>
        <w:rPr>
          <w:rFonts w:ascii="Segoe UI Light" w:hAnsi="Segoe UI Light"/>
          <w:sz w:val="21"/>
        </w:rPr>
        <w:t>What would credible improvement look like, or what should stay?</w:t>
      </w:r>
    </w:p>
    <w:p>
      <w:pPr>
        <w:spacing w:after="120"/>
      </w:pPr>
      <w:r>
        <w:rPr>
          <w:rFonts w:ascii="Segoe UI Light" w:hAnsi="Segoe UI Light"/>
          <w:b/>
          <w:sz w:val="21"/>
        </w:rPr>
        <w:t>Next decision:</w:t>
      </w:r>
      <w:r>
        <w:rPr>
          <w:rFonts w:ascii="Segoe UI Light" w:hAnsi="Segoe UI Light"/>
          <w:sz w:val="21"/>
        </w:rPr>
        <w:t xml:space="preserve"> Distinguish feedback changes within managers’ authority from pay or progression concerns needing other decision-makers. Preserve recognition workers value. Praise should not substitute for fair treatment or action on excessive demands.</w:t>
      </w:r>
    </w:p>
    <w:p>
      <w:pPr>
        <w:pStyle w:val="Heading3"/>
      </w:pPr>
      <w:r>
        <w:rPr>
          <w:rFonts w:ascii="Segoe UI Light" w:hAnsi="Segoe UI Light"/>
          <w:b/>
          <w:color w:val="2D5A8E"/>
          <w:sz w:val="21"/>
        </w:rPr>
        <w:t>5. Emotional Demand</w:t>
      </w:r>
    </w:p>
    <w:p>
      <w:pPr>
        <w:spacing w:after="120"/>
      </w:pPr>
      <w:r>
        <w:rPr>
          <w:rFonts w:ascii="Segoe UI Light" w:hAnsi="Segoe UI Light"/>
          <w:sz w:val="21"/>
        </w:rPr>
        <w:t>This includes responding to others’ distress and managing the emotions shown at work.</w:t>
      </w:r>
    </w:p>
    <w:p>
      <w:pPr>
        <w:pStyle w:val="ListBullet"/>
        <w:spacing w:after="60"/>
      </w:pPr>
      <w:r>
        <w:rPr>
          <w:rFonts w:ascii="Segoe UI Light" w:hAnsi="Segoe UI Light"/>
          <w:sz w:val="21"/>
        </w:rPr>
        <w:t>Which parts of work, if any, feel emotionally demanding?</w:t>
      </w:r>
    </w:p>
    <w:p>
      <w:pPr>
        <w:pStyle w:val="ListBullet"/>
        <w:spacing w:after="60"/>
      </w:pPr>
      <w:r>
        <w:rPr>
          <w:rFonts w:ascii="Segoe UI Light" w:hAnsi="Segoe UI Light"/>
          <w:sz w:val="21"/>
        </w:rPr>
        <w:t>What happens when help or time to recover is needed?</w:t>
      </w:r>
    </w:p>
    <w:p>
      <w:pPr>
        <w:pStyle w:val="ListBullet"/>
        <w:spacing w:after="60"/>
      </w:pPr>
      <w:r>
        <w:rPr>
          <w:rFonts w:ascii="Segoe UI Light" w:hAnsi="Segoe UI Light"/>
          <w:sz w:val="21"/>
        </w:rPr>
        <w:t>What changes might help, and what would make them workable?</w:t>
      </w:r>
    </w:p>
    <w:p>
      <w:pPr>
        <w:spacing w:after="120"/>
      </w:pPr>
      <w:r>
        <w:rPr>
          <w:rFonts w:ascii="Segoe UI Light" w:hAnsi="Segoe UI Light"/>
          <w:b/>
          <w:sz w:val="21"/>
        </w:rPr>
        <w:t>Next decision:</w:t>
      </w:r>
      <w:r>
        <w:rPr>
          <w:rFonts w:ascii="Segoe UI Light" w:hAnsi="Segoe UI Light"/>
          <w:sz w:val="21"/>
        </w:rPr>
        <w:t xml:space="preserve"> Use answers to consider reducing avoidable exposure, providing timely help and arranging covered recovery time. Before redistributing demanding work, check receiving workers’ skills, preparation, workload and support. Individual support should accompany, not replace, changes to harmful work arrangements.</w:t>
      </w:r>
    </w:p>
    <w:p>
      <w:pPr>
        <w:pStyle w:val="Heading2"/>
      </w:pPr>
      <w:r>
        <w:rPr>
          <w:rFonts w:ascii="Segoe UI Light" w:hAnsi="Segoe UI Light"/>
          <w:b/>
          <w:color w:val="2D5A8E"/>
          <w:sz w:val="22"/>
        </w:rPr>
        <w:t>Agree actions and close: 15 minutes</w:t>
      </w:r>
    </w:p>
    <w:p>
      <w:pPr>
        <w:pStyle w:val="ListBullet"/>
        <w:spacing w:after="60"/>
      </w:pPr>
      <w:r>
        <w:rPr>
          <w:rFonts w:ascii="Segoe UI Light" w:hAnsi="Segoe UI Light"/>
          <w:sz w:val="21"/>
        </w:rPr>
        <w:t>Read back the main concerns and strengths. Ask: “What has been missed or misunderstood? Which concerns need action now, and what should be protected?”</w:t>
      </w:r>
    </w:p>
    <w:p>
      <w:pPr>
        <w:pStyle w:val="ListBullet"/>
        <w:spacing w:after="60"/>
      </w:pPr>
      <w:r>
        <w:rPr>
          <w:rFonts w:ascii="Segoe UI Light" w:hAnsi="Segoe UI Light"/>
          <w:sz w:val="21"/>
        </w:rPr>
        <w:t>For each suggested change, record a proposed owner, approval needed, resources, displaced work, supports to retain and review date. Check existing initiatives before creating new work.</w:t>
      </w:r>
    </w:p>
    <w:p>
      <w:pPr>
        <w:pStyle w:val="ListBullet"/>
        <w:spacing w:after="60"/>
      </w:pPr>
      <w:r>
        <w:rPr>
          <w:rFonts w:ascii="Segoe UI Light" w:hAnsi="Segoe UI Light"/>
          <w:sz w:val="21"/>
        </w:rPr>
        <w:t>Agree who will seek decisions and when workers will hear back, including unresolved matters and reasons for decisions. Do not promise changes beyond the working group’s authority.</w:t>
      </w:r>
    </w:p>
    <w:p>
      <w:pPr>
        <w:pStyle w:val="ListBullet"/>
        <w:spacing w:after="60"/>
      </w:pPr>
      <w:r>
        <w:rPr>
          <w:rFonts w:ascii="Segoe UI Light" w:hAnsi="Segoe UI Light"/>
          <w:sz w:val="21"/>
        </w:rPr>
        <w:t xml:space="preserve">Agree how to establish a documented local baseline and review working conditions alongside </w:t>
      </w:r>
      <w:r>
        <w:rPr>
          <w:rFonts w:ascii="Segoe UI Light" w:hAnsi="Segoe UI Light"/>
          <w:b/>
          <w:sz w:val="21"/>
        </w:rPr>
        <w:t>Burnout</w:t>
      </w:r>
      <w:r>
        <w:rPr>
          <w:rFonts w:ascii="Segoe UI Light" w:hAnsi="Segoe UI Light"/>
          <w:sz w:val="21"/>
        </w:rPr>
        <w:t xml:space="preserve">, </w:t>
      </w:r>
      <w:r>
        <w:rPr>
          <w:rFonts w:ascii="Segoe UI Light" w:hAnsi="Segoe UI Light"/>
          <w:b/>
          <w:sz w:val="21"/>
        </w:rPr>
        <w:t>Psych Distress</w:t>
      </w:r>
      <w:r>
        <w:rPr>
          <w:rFonts w:ascii="Segoe UI Light" w:hAnsi="Segoe UI Light"/>
          <w:sz w:val="21"/>
        </w:rPr>
        <w:t xml:space="preserve"> and </w:t>
      </w:r>
      <w:r>
        <w:rPr>
          <w:rFonts w:ascii="Segoe UI Light" w:hAnsi="Segoe UI Light"/>
          <w:b/>
          <w:sz w:val="21"/>
        </w:rPr>
        <w:t>Work Engagement</w:t>
      </w:r>
      <w:r>
        <w:rPr>
          <w:rFonts w:ascii="Segoe UI Light" w:hAnsi="Segoe UI Light"/>
          <w:sz w:val="21"/>
        </w:rPr>
        <w:t>. Check whether changes happened, whether workers’ experiences improved and whether problems moved elsewhere. Engagement alone is not an adequate measure of progress.</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Segoe UI Light" w:hAnsi="Segoe UI Light"/>
        <w:color w:val="94A3B8"/>
        <w:sz w:val="16"/>
      </w:rPr>
      <w:t xml:space="preserve">Test Org  ·  </w:t>
    </w:r>
    <w:r>
      <w:rPr>
        <w:rFonts w:ascii="Segoe UI Light" w:hAnsi="Segoe UI Light"/>
        <w:color w:val="94A3B8"/>
        <w:sz w:val="16"/>
      </w:rPr>
      <w:t xml:space="preserve">Page </w:t>
    </w:r>
    <w:r>
      <w:rPr>
        <w:rFonts w:ascii="Segoe UI Light" w:hAnsi="Segoe UI Light"/>
        <w:color w:val="94A3B8"/>
        <w:sz w:val="16"/>
      </w:rPr>
      <w:fldChar w:fldCharType="begin"/>
    </w:r>
    <w:r>
      <w:rPr>
        <w:rFonts w:ascii="Segoe UI Light" w:hAnsi="Segoe UI Light"/>
        <w:color w:val="94A3B8"/>
        <w:sz w:val="16"/>
      </w:rPr>
      <w:instrText xml:space="preserve"> PAGE </w:instrText>
    </w:r>
    <w:r>
      <w:rPr>
        <w:rFonts w:ascii="Segoe UI Light" w:hAnsi="Segoe UI Light"/>
        <w:color w:val="94A3B8"/>
        <w:sz w:val="16"/>
      </w:rPr>
      <w:fldChar w:fldCharType="end"/>
    </w:r>
    <w:r>
      <w:rPr>
        <w:rFonts w:ascii="Segoe UI Light" w:hAnsi="Segoe UI Light"/>
        <w:color w:val="94A3B8"/>
        <w:sz w:val="16"/>
      </w:rPr>
      <w:t xml:space="preserve">  ·  Prior Work  ·  priorwork.au  ·  © 2026 Prior Work. Released under CC BY-NC-SA 4.0.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pPr>
    <w:rPr>
      <w:rFonts w:ascii="Segoe UI Light" w:hAnsi="Segoe UI Light"/>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Segoe UI Light" w:hAnsi="Segoe UI Light"/>
      <w:b/>
      <w:bCs/>
      <w:color w:val="1E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Segoe UI Light" w:hAnsi="Segoe UI Light"/>
      <w:b/>
      <w:bCs/>
      <w:color w:val="2D5A8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120"/>
      <w:ind w:left="340" w:right="227"/>
    </w:pPr>
    <w:rPr>
      <w:rFonts w:ascii="Segoe UI Light" w:hAnsi="Segoe UI Light"/>
      <w:i w:val="0"/>
      <w:iCs/>
      <w:color w:val="1F2937"/>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