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p>
    <w:p>
      <w:pPr>
        <w:spacing w:after="0"/>
      </w:pPr>
    </w:p>
    <w:p>
      <w:pPr>
        <w:spacing w:after="0"/>
      </w:pPr>
    </w:p>
    <w:p>
      <w:pPr>
        <w:spacing w:after="0"/>
      </w:pPr>
    </w:p>
    <w:p>
      <w:pPr>
        <w:spacing w:after="0"/>
      </w:pPr>
    </w:p>
    <w:p>
      <w:pPr>
        <w:spacing w:after="0"/>
      </w:pPr>
    </w:p>
    <w:p>
      <w:pPr>
        <w:jc w:val="center"/>
      </w:pPr>
      <w:r>
        <w:rPr>
          <w:rFonts w:ascii="Segoe UI Light" w:hAnsi="Segoe UI Light"/>
          <w:b/>
          <w:color w:val="1E3A5F"/>
          <w:sz w:val="48"/>
        </w:rPr>
        <w:t>Psychosocial Risk Management Report</w:t>
      </w:r>
    </w:p>
    <w:p>
      <w:pPr>
        <w:spacing w:before="120"/>
        <w:jc w:val="center"/>
      </w:pPr>
      <w:r>
        <w:rPr>
          <w:rFonts w:ascii="Segoe UI Light" w:hAnsi="Segoe UI Light"/>
          <w:color w:val="2D5A8E"/>
          <w:sz w:val="32"/>
        </w:rPr>
        <w:t>Test Org</w:t>
      </w:r>
    </w:p>
    <w:p>
      <w:pPr>
        <w:spacing w:before="120" w:after="120"/>
        <w:pBdr>
          <w:bottom w:val="single" w:sz="4" w:space="1" w:color="E2E8F0"/>
        </w:pBdr>
      </w:pPr>
    </w:p>
    <w:p>
      <w:pPr>
        <w:spacing w:after="60"/>
        <w:jc w:val="center"/>
      </w:pPr>
      <w:r>
        <w:rPr>
          <w:rFonts w:ascii="Segoe UI Light" w:hAnsi="Segoe UI Light"/>
          <w:b/>
          <w:color w:val="64748B"/>
          <w:sz w:val="20"/>
        </w:rPr>
        <w:t xml:space="preserve">Outcome measures: </w:t>
      </w:r>
      <w:r>
        <w:rPr>
          <w:rFonts w:ascii="Segoe UI Light" w:hAnsi="Segoe UI Light"/>
          <w:color w:val="64748B"/>
          <w:sz w:val="20"/>
        </w:rPr>
        <w:t>Work Engagement  ·  Burnout  ·  Psych Distress</w:t>
      </w:r>
    </w:p>
    <w:p>
      <w:pPr>
        <w:spacing w:after="60"/>
        <w:jc w:val="center"/>
      </w:pPr>
      <w:r>
        <w:rPr>
          <w:rFonts w:ascii="Segoe UI Light" w:hAnsi="Segoe UI Light"/>
          <w:b/>
          <w:color w:val="64748B"/>
          <w:sz w:val="20"/>
        </w:rPr>
        <w:t xml:space="preserve">Organisation size: </w:t>
      </w:r>
      <w:r>
        <w:rPr>
          <w:rFonts w:ascii="Segoe UI Light" w:hAnsi="Segoe UI Light"/>
          <w:color w:val="64748B"/>
          <w:sz w:val="20"/>
        </w:rPr>
        <w:t>1,200</w:t>
      </w:r>
    </w:p>
    <w:p>
      <w:pPr>
        <w:spacing w:after="60"/>
        <w:jc w:val="center"/>
      </w:pPr>
      <w:r>
        <w:rPr>
          <w:rFonts w:ascii="Segoe UI Light" w:hAnsi="Segoe UI Light"/>
          <w:b/>
          <w:color w:val="64748B"/>
          <w:sz w:val="20"/>
        </w:rPr>
        <w:t xml:space="preserve">Date: </w:t>
      </w:r>
      <w:r>
        <w:rPr>
          <w:rFonts w:ascii="Segoe UI Light" w:hAnsi="Segoe UI Light"/>
          <w:color w:val="64748B"/>
          <w:sz w:val="20"/>
        </w:rPr>
        <w:t>25/09/2026</w:t>
      </w:r>
    </w:p>
    <w:p>
      <w:pPr>
        <w:spacing w:after="60"/>
        <w:jc w:val="center"/>
      </w:pPr>
      <w:r>
        <w:rPr>
          <w:rFonts w:ascii="Segoe UI Light" w:hAnsi="Segoe UI Light"/>
          <w:b/>
          <w:color w:val="64748B"/>
          <w:sz w:val="20"/>
        </w:rPr>
        <w:t xml:space="preserve">Prepared by: </w:t>
      </w:r>
      <w:r>
        <w:rPr>
          <w:rFonts w:ascii="Segoe UI Light" w:hAnsi="Segoe UI Light"/>
          <w:color w:val="64748B"/>
          <w:sz w:val="20"/>
        </w:rPr>
        <w:t>Pat Egan</w:t>
      </w:r>
    </w:p>
    <w:p>
      <w:pPr>
        <w:spacing w:before="120" w:after="120"/>
        <w:pBdr>
          <w:bottom w:val="single" w:sz="4" w:space="1" w:color="E2E8F0"/>
        </w:pBdr>
      </w:pPr>
    </w:p>
    <w:p>
      <w:pPr>
        <w:jc w:val="center"/>
      </w:pPr>
      <w:r>
        <w:rPr>
          <w:rFonts w:ascii="Segoe UI Light" w:hAnsi="Segoe UI Light"/>
          <w:i/>
          <w:color w:val="94A3B8"/>
          <w:sz w:val="16"/>
        </w:rPr>
        <w:t>Generated with Prior Work  ·  priorwork.au  ·  © 2026 Prior Work. Released under CC BY-NC-SA 4.0.</w:t>
      </w:r>
    </w:p>
    <w:p>
      <w:r>
        <w:br w:type="page"/>
      </w:r>
    </w:p>
    <w:p>
      <w:pPr>
        <w:spacing w:after="200"/>
      </w:pPr>
      <w:r>
        <w:rPr>
          <w:rFonts w:ascii="Segoe UI Light" w:hAnsi="Segoe UI Light"/>
          <w:b/>
          <w:color w:val="1E3A5F"/>
          <w:sz w:val="28"/>
        </w:rPr>
        <w:t>Contents</w:t>
      </w:r>
    </w:p>
    <w:p>
      <w:pPr>
        <w:spacing w:after="40"/>
      </w:pPr>
      <w:r>
        <w:fldChar w:fldCharType="begin"/>
        <w:instrText xml:space="preserve"> TOC \o "1-2" \h \z \u </w:instrText>
        <w:fldChar w:fldCharType="separate"/>
      </w:r>
    </w:p>
    <w:p>
      <w:pPr>
        <w:spacing w:after="40"/>
      </w:pPr>
      <w:hyperlink w:anchor="_PWToc0">
        <w:r>
          <w:rPr>
            <w:rFonts w:ascii="Segoe UI Light" w:hAnsi="Segoe UI Light"/>
            <w:b/>
            <w:color w:val="1E3A5F"/>
            <w:sz w:val="21"/>
          </w:rPr>
          <w:t>Executive Summary</w:t>
        </w:r>
      </w:hyperlink>
    </w:p>
    <w:p>
      <w:pPr>
        <w:spacing w:after="40"/>
      </w:pPr>
      <w:hyperlink w:anchor="_PWToc1">
        <w:r>
          <w:rPr>
            <w:rFonts w:ascii="Segoe UI Light" w:hAnsi="Segoe UI Light"/>
            <w:b/>
            <w:color w:val="1E3A5F"/>
            <w:sz w:val="21"/>
          </w:rPr>
          <w:t>Context and Approach</w:t>
        </w:r>
      </w:hyperlink>
    </w:p>
    <w:p>
      <w:pPr>
        <w:spacing w:after="40"/>
      </w:pPr>
      <w:hyperlink w:anchor="_PWToc2">
        <w:r>
          <w:rPr>
            <w:rFonts w:ascii="Segoe UI Light" w:hAnsi="Segoe UI Light"/>
            <w:b/>
            <w:color w:val="1E3A5F"/>
            <w:sz w:val="21"/>
          </w:rPr>
          <w:t>Findings and What They Mean</w:t>
        </w:r>
      </w:hyperlink>
    </w:p>
    <w:p>
      <w:pPr>
        <w:spacing w:after="40"/>
        <w:ind w:left="340"/>
      </w:pPr>
      <w:hyperlink w:anchor="_PWToc3">
        <w:r>
          <w:rPr>
            <w:rFonts w:ascii="Segoe UI Light" w:hAnsi="Segoe UI Light"/>
            <w:b w:val="0"/>
            <w:color w:val="64748B"/>
            <w:sz w:val="19"/>
          </w:rPr>
          <w:t>Starting position and decision focus</w:t>
        </w:r>
      </w:hyperlink>
    </w:p>
    <w:p>
      <w:pPr>
        <w:spacing w:after="40"/>
        <w:ind w:left="340"/>
      </w:pPr>
      <w:hyperlink w:anchor="_PWToc4">
        <w:r>
          <w:rPr>
            <w:rFonts w:ascii="Segoe UI Light" w:hAnsi="Segoe UI Light"/>
            <w:b w:val="0"/>
            <w:color w:val="64748B"/>
            <w:sz w:val="19"/>
          </w:rPr>
          <w:t>Reduce excessive demands without losing valued work</w:t>
        </w:r>
      </w:hyperlink>
    </w:p>
    <w:p>
      <w:pPr>
        <w:spacing w:after="40"/>
        <w:ind w:left="340"/>
      </w:pPr>
      <w:hyperlink w:anchor="_PWToc5">
        <w:r>
          <w:rPr>
            <w:rFonts w:ascii="Segoe UI Light" w:hAnsi="Segoe UI Light"/>
            <w:b w:val="0"/>
            <w:color w:val="64748B"/>
            <w:sz w:val="19"/>
          </w:rPr>
          <w:t>Preserve and strengthen positive features of work</w:t>
        </w:r>
      </w:hyperlink>
    </w:p>
    <w:p>
      <w:pPr>
        <w:spacing w:after="40"/>
        <w:ind w:left="340"/>
      </w:pPr>
      <w:hyperlink w:anchor="_PWToc6">
        <w:r>
          <w:rPr>
            <w:rFonts w:ascii="Segoe UI Light" w:hAnsi="Segoe UI Light"/>
            <w:b w:val="0"/>
            <w:color w:val="64748B"/>
            <w:sz w:val="19"/>
          </w:rPr>
          <w:t>Address emotional demands where they occur</w:t>
        </w:r>
      </w:hyperlink>
    </w:p>
    <w:p>
      <w:pPr>
        <w:spacing w:after="40"/>
        <w:ind w:left="340"/>
      </w:pPr>
      <w:hyperlink w:anchor="_PWToc7">
        <w:r>
          <w:rPr>
            <w:rFonts w:ascii="Segoe UI Light" w:hAnsi="Segoe UI Light"/>
            <w:b w:val="0"/>
            <w:color w:val="64748B"/>
            <w:sz w:val="19"/>
          </w:rPr>
          <w:t>Combined comparisons help clarify priorities</w:t>
        </w:r>
      </w:hyperlink>
    </w:p>
    <w:p>
      <w:pPr>
        <w:spacing w:after="40"/>
      </w:pPr>
      <w:hyperlink w:anchor="_PWToc8">
        <w:r>
          <w:rPr>
            <w:rFonts w:ascii="Segoe UI Light" w:hAnsi="Segoe UI Light"/>
            <w:b/>
            <w:color w:val="1E3A5F"/>
            <w:sz w:val="21"/>
          </w:rPr>
          <w:t>Recommended Next Steps</w:t>
        </w:r>
      </w:hyperlink>
    </w:p>
    <w:p>
      <w:pPr>
        <w:spacing w:after="40"/>
        <w:ind w:left="340"/>
      </w:pPr>
      <w:hyperlink w:anchor="_PWToc9">
        <w:r>
          <w:rPr>
            <w:rFonts w:ascii="Segoe UI Light" w:hAnsi="Segoe UI Light"/>
            <w:b w:val="0"/>
            <w:color w:val="64748B"/>
            <w:sz w:val="19"/>
          </w:rPr>
          <w:t>1. Establish local evidence and clear ownership</w:t>
        </w:r>
      </w:hyperlink>
    </w:p>
    <w:p>
      <w:pPr>
        <w:spacing w:after="40"/>
        <w:ind w:left="340"/>
      </w:pPr>
      <w:hyperlink w:anchor="_PWToc10">
        <w:r>
          <w:rPr>
            <w:rFonts w:ascii="Segoe UI Light" w:hAnsi="Segoe UI Light"/>
            <w:b w:val="0"/>
            <w:color w:val="64748B"/>
            <w:sz w:val="19"/>
          </w:rPr>
          <w:t>2. Protect workers promptly where harm is already known</w:t>
        </w:r>
      </w:hyperlink>
    </w:p>
    <w:p>
      <w:pPr>
        <w:spacing w:after="40"/>
        <w:ind w:left="340"/>
      </w:pPr>
      <w:hyperlink w:anchor="_PWToc11">
        <w:r>
          <w:rPr>
            <w:rFonts w:ascii="Segoe UI Light" w:hAnsi="Segoe UI Light"/>
            <w:b w:val="0"/>
            <w:color w:val="64748B"/>
            <w:sz w:val="19"/>
          </w:rPr>
          <w:t>3. Co-design a small number of practical work changes</w:t>
        </w:r>
      </w:hyperlink>
    </w:p>
    <w:p>
      <w:pPr>
        <w:spacing w:after="40"/>
        <w:ind w:left="340"/>
      </w:pPr>
      <w:hyperlink w:anchor="_PWToc12">
        <w:r>
          <w:rPr>
            <w:rFonts w:ascii="Segoe UI Light" w:hAnsi="Segoe UI Light"/>
            <w:b w:val="0"/>
            <w:color w:val="64748B"/>
            <w:sz w:val="19"/>
          </w:rPr>
          <w:t>4. Review working conditions and outcomes against the local baseline</w:t>
        </w:r>
      </w:hyperlink>
    </w:p>
    <w:p>
      <w:pPr>
        <w:spacing w:after="40"/>
      </w:pPr>
      <w:hyperlink w:anchor="_PWToc13">
        <w:r>
          <w:rPr>
            <w:rFonts w:ascii="Segoe UI Light" w:hAnsi="Segoe UI Light"/>
            <w:b/>
            <w:color w:val="1E3A5F"/>
            <w:sz w:val="21"/>
          </w:rPr>
          <w:t>Appendix – Supporting Material</w:t>
        </w:r>
      </w:hyperlink>
    </w:p>
    <w:p>
      <w:pPr>
        <w:spacing w:after="40"/>
        <w:ind w:left="340"/>
      </w:pPr>
      <w:hyperlink w:anchor="_PWToc14">
        <w:r>
          <w:rPr>
            <w:rFonts w:ascii="Segoe UI Light" w:hAnsi="Segoe UI Light"/>
            <w:b w:val="0"/>
            <w:color w:val="64748B"/>
            <w:sz w:val="19"/>
          </w:rPr>
          <w:t>A1 – How the Factors Connect</w:t>
        </w:r>
      </w:hyperlink>
    </w:p>
    <w:p>
      <w:pPr>
        <w:spacing w:after="40"/>
        <w:ind w:left="340"/>
      </w:pPr>
      <w:hyperlink w:anchor="_PWToc15">
        <w:r>
          <w:rPr>
            <w:rFonts w:ascii="Segoe UI Light" w:hAnsi="Segoe UI Light"/>
            <w:b w:val="0"/>
            <w:color w:val="64748B"/>
            <w:sz w:val="19"/>
          </w:rPr>
          <w:t>A2 – Starting Model Estimates</w:t>
        </w:r>
      </w:hyperlink>
    </w:p>
    <w:p>
      <w:pPr>
        <w:spacing w:after="40"/>
        <w:ind w:left="340"/>
      </w:pPr>
      <w:hyperlink w:anchor="_PWToc16">
        <w:r>
          <w:rPr>
            <w:rFonts w:ascii="Segoe UI Light" w:hAnsi="Segoe UI Light"/>
            <w:b w:val="0"/>
            <w:color w:val="64748B"/>
            <w:sz w:val="19"/>
          </w:rPr>
          <w:t>A3 – Simple Scenarios: One Factor at a Time</w:t>
        </w:r>
      </w:hyperlink>
    </w:p>
    <w:p>
      <w:pPr>
        <w:spacing w:after="40"/>
        <w:ind w:left="340"/>
      </w:pPr>
      <w:hyperlink w:anchor="_PWToc17">
        <w:r>
          <w:rPr>
            <w:rFonts w:ascii="Segoe UI Light" w:hAnsi="Segoe UI Light"/>
            <w:b w:val="0"/>
            <w:color w:val="64748B"/>
            <w:sz w:val="19"/>
          </w:rPr>
          <w:t>A4 – Combined Scenarios: Factors Moved Together</w:t>
        </w:r>
      </w:hyperlink>
    </w:p>
    <w:p>
      <w:pPr>
        <w:spacing w:after="40"/>
        <w:ind w:left="340"/>
      </w:pPr>
      <w:hyperlink w:anchor="_PWToc18">
        <w:r>
          <w:rPr>
            <w:rFonts w:ascii="Segoe UI Light" w:hAnsi="Segoe UI Light"/>
            <w:b w:val="0"/>
            <w:color w:val="64748B"/>
            <w:sz w:val="19"/>
          </w:rPr>
          <w:t>A5 – Methodology and How to Read These Tables</w:t>
        </w:r>
      </w:hyperlink>
    </w:p>
    <w:p>
      <w:pPr>
        <w:spacing w:after="0"/>
      </w:pPr>
      <w:r>
        <w:fldChar w:fldCharType="end"/>
      </w:r>
    </w:p>
    <w:p>
      <w:pPr>
        <w:spacing w:before="160"/>
      </w:pPr>
      <w:r>
        <w:rPr>
          <w:rFonts w:ascii="Segoe UI Light" w:hAnsi="Segoe UI Light"/>
          <w:i/>
          <w:color w:val="94A3B8"/>
          <w:sz w:val="17"/>
        </w:rPr>
        <w:t>Entries are clickable. For page numbers, right-click the list and choose Update Field.</w:t>
      </w:r>
    </w:p>
    <w:p>
      <w:r>
        <w:br w:type="page"/>
      </w:r>
    </w:p>
    <w:p>
      <w:bookmarkStart w:id="0" w:name="_PWToc0"/>
      <w:pPr>
        <w:pStyle w:val="Heading1"/>
      </w:pPr>
      <w:r>
        <w:rPr>
          <w:rFonts w:ascii="Segoe UI Light" w:hAnsi="Segoe UI Light"/>
          <w:b/>
          <w:color w:val="1E3A5F"/>
          <w:sz w:val="28"/>
        </w:rPr>
        <w:t>Executive Summary</w:t>
      </w:r>
      <w:bookmarkEnd w:id="0"/>
    </w:p>
    <w:p>
      <w:pPr>
        <w:spacing w:after="120"/>
      </w:pPr>
      <w:r>
        <w:rPr>
          <w:rFonts w:ascii="Segoe UI Light" w:hAnsi="Segoe UI Light"/>
          <w:sz w:val="21"/>
        </w:rPr>
        <w:t>Test Org’s senior leaders should establish local evidence, act promptly on confirmed harm and test a small number of work-design improvements for its 1,200 workers.</w:t>
      </w:r>
    </w:p>
    <w:p>
      <w:pPr>
        <w:spacing w:after="120"/>
      </w:pPr>
      <w:r>
        <w:rPr>
          <w:rFonts w:ascii="Segoe UI Light" w:hAnsi="Segoe UI Light"/>
          <w:sz w:val="21"/>
        </w:rPr>
        <w:t>The evidence comes from the supplied General Australian Workforce model, with an unrecorded data source, no recorded fit to Test Org responses and no available prediction checks. Scenarios assume all workers experience the specified conditions. They are not local workforce findings or forecasts of control effects.</w:t>
      </w:r>
    </w:p>
    <w:p>
      <w:pPr>
        <w:spacing w:after="120"/>
      </w:pPr>
      <w:r>
        <w:rPr>
          <w:rFonts w:ascii="Segoe UI Light" w:hAnsi="Segoe UI Light"/>
          <w:sz w:val="21"/>
        </w:rPr>
        <w:t>The five focused comparisons suggest:</w:t>
      </w:r>
    </w:p>
    <w:p>
      <w:pPr>
        <w:pStyle w:val="ListBullet"/>
        <w:spacing w:after="60"/>
      </w:pPr>
      <w:r>
        <w:rPr>
          <w:rFonts w:ascii="Segoe UI Light" w:hAnsi="Segoe UI Light"/>
          <w:sz w:val="21"/>
        </w:rPr>
        <w:t xml:space="preserve">Low </w:t>
      </w:r>
      <w:r>
        <w:rPr>
          <w:rFonts w:ascii="Segoe UI Light" w:hAnsi="Segoe UI Light"/>
          <w:b/>
          <w:sz w:val="21"/>
        </w:rPr>
        <w:t>Role Overload</w:t>
      </w:r>
      <w:r>
        <w:rPr>
          <w:rFonts w:ascii="Segoe UI Light" w:hAnsi="Segoe UI Light"/>
          <w:sz w:val="21"/>
        </w:rPr>
        <w:t xml:space="preserve"> gives the largest reduction in high </w:t>
      </w:r>
      <w:r>
        <w:rPr>
          <w:rFonts w:ascii="Segoe UI Light" w:hAnsi="Segoe UI Light"/>
          <w:b/>
          <w:sz w:val="21"/>
        </w:rPr>
        <w:t>Burnout</w:t>
      </w:r>
      <w:r>
        <w:rPr>
          <w:rFonts w:ascii="Segoe UI Light" w:hAnsi="Segoe UI Light"/>
          <w:sz w:val="21"/>
        </w:rPr>
        <w:t>, about 15 percentage points, but includes a small engagement trade-off.</w:t>
      </w:r>
    </w:p>
    <w:p>
      <w:pPr>
        <w:pStyle w:val="ListBullet"/>
        <w:spacing w:after="60"/>
      </w:pPr>
      <w:r>
        <w:rPr>
          <w:rFonts w:ascii="Segoe UI Light" w:hAnsi="Segoe UI Light"/>
          <w:sz w:val="21"/>
        </w:rPr>
        <w:t xml:space="preserve">Low </w:t>
      </w:r>
      <w:r>
        <w:rPr>
          <w:rFonts w:ascii="Segoe UI Light" w:hAnsi="Segoe UI Light"/>
          <w:b/>
          <w:sz w:val="21"/>
        </w:rPr>
        <w:t>Work Life Conflict</w:t>
      </w:r>
      <w:r>
        <w:rPr>
          <w:rFonts w:ascii="Segoe UI Light" w:hAnsi="Segoe UI Light"/>
          <w:sz w:val="21"/>
        </w:rPr>
        <w:t xml:space="preserve"> reduces high </w:t>
      </w:r>
      <w:r>
        <w:rPr>
          <w:rFonts w:ascii="Segoe UI Light" w:hAnsi="Segoe UI Light"/>
          <w:b/>
          <w:sz w:val="21"/>
        </w:rPr>
        <w:t>Burnout</w:t>
      </w:r>
      <w:r>
        <w:rPr>
          <w:rFonts w:ascii="Segoe UI Light" w:hAnsi="Segoe UI Light"/>
          <w:sz w:val="21"/>
        </w:rPr>
        <w:t xml:space="preserve"> by about 9 points and high </w:t>
      </w:r>
      <w:r>
        <w:rPr>
          <w:rFonts w:ascii="Segoe UI Light" w:hAnsi="Segoe UI Light"/>
          <w:b/>
          <w:sz w:val="21"/>
        </w:rPr>
        <w:t>Psych Distress</w:t>
      </w:r>
      <w:r>
        <w:rPr>
          <w:rFonts w:ascii="Segoe UI Light" w:hAnsi="Segoe UI Light"/>
          <w:sz w:val="21"/>
        </w:rPr>
        <w:t xml:space="preserve"> by about 8 points, while high </w:t>
      </w:r>
      <w:r>
        <w:rPr>
          <w:rFonts w:ascii="Segoe UI Light" w:hAnsi="Segoe UI Light"/>
          <w:b/>
          <w:sz w:val="21"/>
        </w:rPr>
        <w:t>Work Engagement</w:t>
      </w:r>
      <w:r>
        <w:rPr>
          <w:rFonts w:ascii="Segoe UI Light" w:hAnsi="Segoe UI Light"/>
          <w:sz w:val="21"/>
        </w:rPr>
        <w:t xml:space="preserve"> gains about 7 points.</w:t>
      </w:r>
    </w:p>
    <w:p>
      <w:pPr>
        <w:pStyle w:val="ListBullet"/>
        <w:spacing w:after="60"/>
      </w:pPr>
      <w:r>
        <w:rPr>
          <w:rFonts w:ascii="Segoe UI Light" w:hAnsi="Segoe UI Light"/>
          <w:sz w:val="21"/>
        </w:rPr>
        <w:t xml:space="preserve">High </w:t>
      </w:r>
      <w:r>
        <w:rPr>
          <w:rFonts w:ascii="Segoe UI Light" w:hAnsi="Segoe UI Light"/>
          <w:b/>
          <w:sz w:val="21"/>
        </w:rPr>
        <w:t>Meaningful Work</w:t>
      </w:r>
      <w:r>
        <w:rPr>
          <w:rFonts w:ascii="Segoe UI Light" w:hAnsi="Segoe UI Light"/>
          <w:sz w:val="21"/>
        </w:rPr>
        <w:t xml:space="preserve"> and high </w:t>
      </w:r>
      <w:r>
        <w:rPr>
          <w:rFonts w:ascii="Segoe UI Light" w:hAnsi="Segoe UI Light"/>
          <w:b/>
          <w:sz w:val="21"/>
        </w:rPr>
        <w:t>Recognition</w:t>
      </w:r>
      <w:r>
        <w:rPr>
          <w:rFonts w:ascii="Segoe UI Light" w:hAnsi="Segoe UI Light"/>
          <w:sz w:val="21"/>
        </w:rPr>
        <w:t xml:space="preserve"> produce engagement gains of about 12 and 11 points respectively, alongside smaller adverse-outcome reductions.</w:t>
      </w:r>
    </w:p>
    <w:p>
      <w:pPr>
        <w:pStyle w:val="ListBullet"/>
        <w:spacing w:after="60"/>
      </w:pPr>
      <w:r>
        <w:rPr>
          <w:rFonts w:ascii="Segoe UI Light" w:hAnsi="Segoe UI Light"/>
          <w:sz w:val="21"/>
        </w:rPr>
        <w:t xml:space="preserve">Low </w:t>
      </w:r>
      <w:r>
        <w:rPr>
          <w:rFonts w:ascii="Segoe UI Light" w:hAnsi="Segoe UI Light"/>
          <w:b/>
          <w:sz w:val="21"/>
        </w:rPr>
        <w:t>Emotional Demand</w:t>
      </w:r>
      <w:r>
        <w:rPr>
          <w:rFonts w:ascii="Segoe UI Light" w:hAnsi="Segoe UI Light"/>
          <w:sz w:val="21"/>
        </w:rPr>
        <w:t xml:space="preserve"> reduces high </w:t>
      </w:r>
      <w:r>
        <w:rPr>
          <w:rFonts w:ascii="Segoe UI Light" w:hAnsi="Segoe UI Light"/>
          <w:b/>
          <w:sz w:val="21"/>
        </w:rPr>
        <w:t>Burnout</w:t>
      </w:r>
      <w:r>
        <w:rPr>
          <w:rFonts w:ascii="Segoe UI Light" w:hAnsi="Segoe UI Light"/>
          <w:sz w:val="21"/>
        </w:rPr>
        <w:t xml:space="preserve"> by about 9 points, without an estimated engagement change.</w:t>
      </w:r>
    </w:p>
    <w:p>
      <w:pPr>
        <w:spacing w:after="120"/>
      </w:pPr>
      <w:r>
        <w:rPr>
          <w:rFonts w:ascii="Segoe UI Light" w:hAnsi="Segoe UI Light"/>
          <w:sz w:val="21"/>
        </w:rPr>
        <w:t>Senior leaders should appoint an accountable sponsor, check existing initiatives and create a documented local baseline. Consultation should establish which work arrangements need changing and which strengths should be preserved.</w:t>
      </w:r>
    </w:p>
    <w:p>
      <w:pPr>
        <w:spacing w:after="120"/>
      </w:pPr>
      <w:r>
        <w:rPr>
          <w:rFonts w:ascii="Segoe UI Light" w:hAnsi="Segoe UI Light"/>
          <w:sz w:val="21"/>
        </w:rPr>
        <w:t>Confirmed harmful demands warrant prompt protection while longer-term changes are developed. Workload and scheduling changes should not transfer problems to other workers or remove useful supports. Review progress against the local baseline using working-condition measures and all three outcomes, rather than engagement alone.</w:t>
      </w:r>
    </w:p>
    <w:p>
      <w:r>
        <w:br w:type="page"/>
      </w:r>
    </w:p>
    <w:p>
      <w:bookmarkStart w:id="1" w:name="_PWToc1"/>
      <w:pPr>
        <w:pStyle w:val="Heading1"/>
      </w:pPr>
      <w:r>
        <w:rPr>
          <w:rFonts w:ascii="Segoe UI Light" w:hAnsi="Segoe UI Light"/>
          <w:b/>
          <w:color w:val="1E3A5F"/>
          <w:sz w:val="28"/>
        </w:rPr>
        <w:t>Context and Approach</w:t>
      </w:r>
      <w:bookmarkEnd w:id="1"/>
    </w:p>
    <w:p>
      <w:pPr>
        <w:spacing w:after="120"/>
      </w:pPr>
      <w:r>
        <w:rPr>
          <w:rFonts w:ascii="Segoe UI Light" w:hAnsi="Segoe UI Light"/>
          <w:sz w:val="21"/>
        </w:rPr>
        <w:t>This report, dated 25 September 2026, helps Test Org’s senior leaders choose priorities for reducing work-related psychological harm and improving working conditions for its 1,200 workers. It is a starting point focused on the workplace factors most useful for the next decision. Other factors can be explored in Data Analytics at priorwork.au.</w:t>
      </w:r>
    </w:p>
    <w:p>
      <w:pPr>
        <w:spacing w:after="120"/>
      </w:pPr>
      <w:r>
        <w:rPr>
          <w:rFonts w:ascii="Segoe UI Light" w:hAnsi="Segoe UI Light"/>
          <w:sz w:val="21"/>
        </w:rPr>
        <w:t>The evidence comes from the supplied General Australian Workforce model. Its data source and the extent to which worker responses informed it are unrecorded. The name does not establish that it represents Australian workers or contains Test Org responses. Prediction checking and uncertainty ranges are unavailable, so local accuracy is unknown and small numerical differences should not be treated as firm rankings.</w:t>
      </w:r>
    </w:p>
    <w:p>
      <w:pPr>
        <w:spacing w:after="120"/>
      </w:pPr>
      <w:r>
        <w:rPr>
          <w:rFonts w:ascii="Segoe UI Light" w:hAnsi="Segoe UI Light"/>
          <w:sz w:val="21"/>
        </w:rPr>
        <w:t>Percentages describe model estimates, not direct worker responses. The model’s starting position is not a measured baseline for Test Org. Each scenario estimates hypothetical outcomes if all workers in the modelled population experienced the specified conditions. These comparisons are neither accounts of workers’ current experiences nor predictions of what a proposed control would achieve. Differences between percentages are reported in percentage points.</w:t>
      </w:r>
    </w:p>
    <w:p>
      <w:pPr>
        <w:spacing w:after="120"/>
      </w:pPr>
      <w:r>
        <w:rPr>
          <w:rFonts w:ascii="Segoe UI Light" w:hAnsi="Segoe UI Light"/>
          <w:sz w:val="21"/>
        </w:rPr>
        <w:t xml:space="preserve">High </w:t>
      </w:r>
      <w:r>
        <w:rPr>
          <w:rFonts w:ascii="Segoe UI Light" w:hAnsi="Segoe UI Light"/>
          <w:b/>
          <w:sz w:val="21"/>
        </w:rPr>
        <w:t>Work Engagement</w:t>
      </w:r>
      <w:r>
        <w:rPr>
          <w:rFonts w:ascii="Segoe UI Light" w:hAnsi="Segoe UI Light"/>
          <w:sz w:val="21"/>
        </w:rPr>
        <w:t xml:space="preserve"> is favourable. High </w:t>
      </w:r>
      <w:r>
        <w:rPr>
          <w:rFonts w:ascii="Segoe UI Light" w:hAnsi="Segoe UI Light"/>
          <w:b/>
          <w:sz w:val="21"/>
        </w:rPr>
        <w:t>Burnout</w:t>
      </w:r>
      <w:r>
        <w:rPr>
          <w:rFonts w:ascii="Segoe UI Light" w:hAnsi="Segoe UI Light"/>
          <w:sz w:val="21"/>
        </w:rPr>
        <w:t xml:space="preserve"> and high </w:t>
      </w:r>
      <w:r>
        <w:rPr>
          <w:rFonts w:ascii="Segoe UI Light" w:hAnsi="Segoe UI Light"/>
          <w:b/>
          <w:sz w:val="21"/>
        </w:rPr>
        <w:t>Psych Distress</w:t>
      </w:r>
      <w:r>
        <w:rPr>
          <w:rFonts w:ascii="Segoe UI Light" w:hAnsi="Segoe UI Light"/>
          <w:sz w:val="21"/>
        </w:rPr>
        <w:t xml:space="preserve"> are adverse, while their low categories are favourable. These categories describe modelled levels, not clinical diagnoses or the risk of developing an illness. This report concerns working conditions and does not establish legal compliance.</w:t>
      </w:r>
    </w:p>
    <w:p>
      <w:pPr>
        <w:spacing w:after="120"/>
      </w:pPr>
      <w:r>
        <w:rPr>
          <w:rFonts w:ascii="Segoe UI Light" w:hAnsi="Segoe UI Light"/>
          <w:sz w:val="21"/>
        </w:rPr>
        <w:t>No information about existing initiatives, resource limits or risk register entries was supplied. These need checking before new work is commissioned, to avoid duplication or loss of useful supports.</w:t>
      </w:r>
    </w:p>
    <w:p>
      <w:pPr>
        <w:spacing w:after="120"/>
      </w:pPr>
      <w:r>
        <w:rPr>
          <w:rFonts w:ascii="Segoe UI Light" w:hAnsi="Segoe UI Light"/>
          <w:sz w:val="21"/>
        </w:rPr>
        <w:t xml:space="preserve">The supplied Data Analytics &gt; Diagnostics comparison works backwards from low </w:t>
      </w:r>
      <w:r>
        <w:rPr>
          <w:rFonts w:ascii="Segoe UI Light" w:hAnsi="Segoe UI Light"/>
          <w:b/>
          <w:sz w:val="21"/>
        </w:rPr>
        <w:t>Work Engagement</w:t>
      </w:r>
      <w:r>
        <w:rPr>
          <w:rFonts w:ascii="Segoe UI Light" w:hAnsi="Segoe UI Light"/>
          <w:sz w:val="21"/>
        </w:rPr>
        <w:t xml:space="preserve"> to estimate which working conditions are more or less likely than in the model’s starting position. It helps choose investigation and consultation questions; it does not identify causes, individual experiences, changes over time or the best controls.</w:t>
      </w:r>
    </w:p>
    <w:p>
      <w:pPr>
        <w:spacing w:after="120"/>
      </w:pPr>
      <w:r>
        <w:rPr>
          <w:rFonts w:ascii="Segoe UI Light" w:hAnsi="Segoe UI Light"/>
          <w:sz w:val="21"/>
        </w:rPr>
        <w:t>If a default Word export is completed, its model overview and interpretation note provide supporting context. Detailed tables are optional, and controls are a separate worksheet.</w:t>
      </w:r>
    </w:p>
    <w:p>
      <w:bookmarkStart w:id="2" w:name="_PWToc2"/>
      <w:pPr>
        <w:pStyle w:val="Heading1"/>
      </w:pPr>
      <w:r>
        <w:rPr>
          <w:rFonts w:ascii="Segoe UI Light" w:hAnsi="Segoe UI Light"/>
          <w:b/>
          <w:color w:val="1E3A5F"/>
          <w:sz w:val="28"/>
        </w:rPr>
        <w:t>Findings and What They Mean</w:t>
      </w:r>
      <w:bookmarkEnd w:id="2"/>
    </w:p>
    <w:p>
      <w:bookmarkStart w:id="3" w:name="_PWToc3"/>
      <w:pPr>
        <w:pStyle w:val="Heading2"/>
      </w:pPr>
      <w:r>
        <w:rPr>
          <w:rFonts w:ascii="Segoe UI Light" w:hAnsi="Segoe UI Light"/>
          <w:b/>
          <w:color w:val="2D5A8E"/>
          <w:sz w:val="22"/>
        </w:rPr>
        <w:t>Starting position and decision focus</w:t>
      </w:r>
      <w:bookmarkEnd w:id="3"/>
    </w:p>
    <w:p>
      <w:pPr>
        <w:spacing w:after="120"/>
      </w:pPr>
      <w:r>
        <w:rPr>
          <w:rFonts w:ascii="Segoe UI Light" w:hAnsi="Segoe UI Light"/>
          <w:sz w:val="21"/>
        </w:rPr>
        <w:t xml:space="preserve">The model’s starting estimates are about 26% for high </w:t>
      </w:r>
      <w:r>
        <w:rPr>
          <w:rFonts w:ascii="Segoe UI Light" w:hAnsi="Segoe UI Light"/>
          <w:b/>
          <w:sz w:val="21"/>
        </w:rPr>
        <w:t>Burnout</w:t>
      </w:r>
      <w:r>
        <w:rPr>
          <w:rFonts w:ascii="Segoe UI Light" w:hAnsi="Segoe UI Light"/>
          <w:sz w:val="21"/>
        </w:rPr>
        <w:t xml:space="preserve">, 18% for high </w:t>
      </w:r>
      <w:r>
        <w:rPr>
          <w:rFonts w:ascii="Segoe UI Light" w:hAnsi="Segoe UI Light"/>
          <w:b/>
          <w:sz w:val="21"/>
        </w:rPr>
        <w:t>Psych Distress</w:t>
      </w:r>
      <w:r>
        <w:rPr>
          <w:rFonts w:ascii="Segoe UI Light" w:hAnsi="Segoe UI Light"/>
          <w:sz w:val="21"/>
        </w:rPr>
        <w:t xml:space="preserve"> and 34% for high </w:t>
      </w:r>
      <w:r>
        <w:rPr>
          <w:rFonts w:ascii="Segoe UI Light" w:hAnsi="Segoe UI Light"/>
          <w:b/>
          <w:sz w:val="21"/>
        </w:rPr>
        <w:t>Work Engagement</w:t>
      </w:r>
      <w:r>
        <w:rPr>
          <w:rFonts w:ascii="Segoe UI Light" w:hAnsi="Segoe UI Light"/>
          <w:sz w:val="21"/>
        </w:rPr>
        <w:t>.</w:t>
      </w:r>
    </w:p>
    <w:p>
      <w:pPr>
        <w:spacing w:after="120"/>
      </w:pPr>
      <w:r>
        <w:rPr>
          <w:rFonts w:ascii="Segoe UI Light" w:hAnsi="Segoe UI Light"/>
          <w:b/>
          <w:sz w:val="21"/>
        </w:rPr>
        <w:t>Burnout</w:t>
      </w:r>
      <w:r>
        <w:rPr>
          <w:rFonts w:ascii="Segoe UI Light" w:hAnsi="Segoe UI Light"/>
          <w:sz w:val="21"/>
        </w:rPr>
        <w:t xml:space="preserve"> covers exhaustion and detachment after prolonged work-related stress. </w:t>
      </w:r>
      <w:r>
        <w:rPr>
          <w:rFonts w:ascii="Segoe UI Light" w:hAnsi="Segoe UI Light"/>
          <w:b/>
          <w:sz w:val="21"/>
        </w:rPr>
        <w:t>Psych Distress</w:t>
      </w:r>
      <w:r>
        <w:rPr>
          <w:rFonts w:ascii="Segoe UI Light" w:hAnsi="Segoe UI Light"/>
          <w:sz w:val="21"/>
        </w:rPr>
        <w:t xml:space="preserve"> includes anxiety, hopelessness and low mood. </w:t>
      </w:r>
      <w:r>
        <w:rPr>
          <w:rFonts w:ascii="Segoe UI Light" w:hAnsi="Segoe UI Light"/>
          <w:b/>
          <w:sz w:val="21"/>
        </w:rPr>
        <w:t>Work Engagement</w:t>
      </w:r>
      <w:r>
        <w:rPr>
          <w:rFonts w:ascii="Segoe UI Light" w:hAnsi="Segoe UI Light"/>
          <w:sz w:val="21"/>
        </w:rPr>
        <w:t xml:space="preserve"> describes energy, dedication and absorption in work. Considering all three helps avoid a narrow plan that improves enthusiasm while overlooking harmful working conditions.</w:t>
      </w:r>
    </w:p>
    <w:p>
      <w:bookmarkStart w:id="4" w:name="_PWToc4"/>
      <w:pPr>
        <w:pStyle w:val="Heading2"/>
      </w:pPr>
      <w:r>
        <w:rPr>
          <w:rFonts w:ascii="Segoe UI Light" w:hAnsi="Segoe UI Light"/>
          <w:b/>
          <w:color w:val="2D5A8E"/>
          <w:sz w:val="22"/>
        </w:rPr>
        <w:t>Reduce excessive demands without losing valued work</w:t>
      </w:r>
      <w:bookmarkEnd w:id="4"/>
    </w:p>
    <w:p>
      <w:pPr>
        <w:spacing w:after="120"/>
      </w:pPr>
      <w:r>
        <w:rPr>
          <w:rFonts w:ascii="Segoe UI Light" w:hAnsi="Segoe UI Light"/>
          <w:b/>
          <w:sz w:val="21"/>
        </w:rPr>
        <w:t>Role Overload</w:t>
      </w:r>
      <w:r>
        <w:rPr>
          <w:rFonts w:ascii="Segoe UI Light" w:hAnsi="Segoe UI Light"/>
          <w:sz w:val="21"/>
        </w:rPr>
        <w:t xml:space="preserve"> means the amount, pace or time pressure of work exceeds what a worker can reasonably manage. Its low scenario produces the largest reduction in high </w:t>
      </w:r>
      <w:r>
        <w:rPr>
          <w:rFonts w:ascii="Segoe UI Light" w:hAnsi="Segoe UI Light"/>
          <w:b/>
          <w:sz w:val="21"/>
        </w:rPr>
        <w:t>Burnout</w:t>
      </w:r>
      <w:r>
        <w:rPr>
          <w:rFonts w:ascii="Segoe UI Light" w:hAnsi="Segoe UI Light"/>
          <w:sz w:val="21"/>
        </w:rPr>
        <w:t xml:space="preserve"> among the five focused single-factor comparisons: about 15 percentage points, to about 10%. High </w:t>
      </w:r>
      <w:r>
        <w:rPr>
          <w:rFonts w:ascii="Segoe UI Light" w:hAnsi="Segoe UI Light"/>
          <w:b/>
          <w:sz w:val="21"/>
        </w:rPr>
        <w:t>Psych Distress</w:t>
      </w:r>
      <w:r>
        <w:rPr>
          <w:rFonts w:ascii="Segoe UI Light" w:hAnsi="Segoe UI Light"/>
          <w:sz w:val="21"/>
        </w:rPr>
        <w:t xml:space="preserve"> reduces by about 7 points, to about 11%.</w:t>
      </w:r>
    </w:p>
    <w:p>
      <w:pPr>
        <w:spacing w:after="120"/>
      </w:pPr>
      <w:r>
        <w:rPr>
          <w:rFonts w:ascii="Segoe UI Light" w:hAnsi="Segoe UI Light"/>
          <w:sz w:val="21"/>
        </w:rPr>
        <w:t xml:space="preserve">There is a small engagement trade-off. High </w:t>
      </w:r>
      <w:r>
        <w:rPr>
          <w:rFonts w:ascii="Segoe UI Light" w:hAnsi="Segoe UI Light"/>
          <w:b/>
          <w:sz w:val="21"/>
        </w:rPr>
        <w:t>Work Engagement</w:t>
      </w:r>
      <w:r>
        <w:rPr>
          <w:rFonts w:ascii="Segoe UI Light" w:hAnsi="Segoe UI Light"/>
          <w:sz w:val="21"/>
        </w:rPr>
        <w:t xml:space="preserve"> is about 1 percentage point lower, while low </w:t>
      </w:r>
      <w:r>
        <w:rPr>
          <w:rFonts w:ascii="Segoe UI Light" w:hAnsi="Segoe UI Light"/>
          <w:b/>
          <w:sz w:val="21"/>
        </w:rPr>
        <w:t>Work Engagement</w:t>
      </w:r>
      <w:r>
        <w:rPr>
          <w:rFonts w:ascii="Segoe UI Light" w:hAnsi="Segoe UI Light"/>
          <w:sz w:val="21"/>
        </w:rPr>
        <w:t xml:space="preserve"> is about 2 points higher. This is not a reason to retain excessive demands. It makes engagement worth monitoring while work is redesigned, including whether valued tasks are being removed along with unnecessary work.</w:t>
      </w:r>
    </w:p>
    <w:p>
      <w:pPr>
        <w:spacing w:after="120"/>
      </w:pPr>
      <w:r>
        <w:rPr>
          <w:rFonts w:ascii="Segoe UI Light" w:hAnsi="Segoe UI Light"/>
          <w:b/>
          <w:sz w:val="21"/>
        </w:rPr>
        <w:t>Work Life Conflict</w:t>
      </w:r>
      <w:r>
        <w:rPr>
          <w:rFonts w:ascii="Segoe UI Light" w:hAnsi="Segoe UI Light"/>
          <w:sz w:val="21"/>
        </w:rPr>
        <w:t xml:space="preserve"> concerns work interfering with home life, relationships or other responsibilities. In its low scenario, high </w:t>
      </w:r>
      <w:r>
        <w:rPr>
          <w:rFonts w:ascii="Segoe UI Light" w:hAnsi="Segoe UI Light"/>
          <w:b/>
          <w:sz w:val="21"/>
        </w:rPr>
        <w:t>Burnout</w:t>
      </w:r>
      <w:r>
        <w:rPr>
          <w:rFonts w:ascii="Segoe UI Light" w:hAnsi="Segoe UI Light"/>
          <w:sz w:val="21"/>
        </w:rPr>
        <w:t xml:space="preserve"> reduces by about 9 percentage points and high </w:t>
      </w:r>
      <w:r>
        <w:rPr>
          <w:rFonts w:ascii="Segoe UI Light" w:hAnsi="Segoe UI Light"/>
          <w:b/>
          <w:sz w:val="21"/>
        </w:rPr>
        <w:t>Psych Distress</w:t>
      </w:r>
      <w:r>
        <w:rPr>
          <w:rFonts w:ascii="Segoe UI Light" w:hAnsi="Segoe UI Light"/>
          <w:sz w:val="21"/>
        </w:rPr>
        <w:t xml:space="preserve"> by about 8 points. High </w:t>
      </w:r>
      <w:r>
        <w:rPr>
          <w:rFonts w:ascii="Segoe UI Light" w:hAnsi="Segoe UI Light"/>
          <w:b/>
          <w:sz w:val="21"/>
        </w:rPr>
        <w:t>Work Engagement</w:t>
      </w:r>
      <w:r>
        <w:rPr>
          <w:rFonts w:ascii="Segoe UI Light" w:hAnsi="Segoe UI Light"/>
          <w:sz w:val="21"/>
        </w:rPr>
        <w:t xml:space="preserve"> also gains about 7 points.</w:t>
      </w:r>
    </w:p>
    <w:p>
      <w:pPr>
        <w:spacing w:after="120"/>
      </w:pPr>
      <w:r>
        <w:rPr>
          <w:rFonts w:ascii="Segoe UI Light" w:hAnsi="Segoe UI Light"/>
          <w:sz w:val="21"/>
        </w:rPr>
        <w:t>This gives work–home interference a place alongside workload volume in local investigation. Consultation should establish whether interference concerns total workload, unpredictable hours, contact outside agreed hours or another feature of work. The answer matters: better schedule notice will not resolve a workload that still requires regular unpaid or extended work.</w:t>
      </w:r>
    </w:p>
    <w:p>
      <w:pPr>
        <w:spacing w:after="120"/>
      </w:pPr>
      <w:r>
        <w:rPr>
          <w:rFonts w:ascii="Segoe UI Light" w:hAnsi="Segoe UI Light"/>
          <w:sz w:val="21"/>
        </w:rPr>
        <w:t xml:space="preserve">A related caution is to avoid removing all mental challenge. The low </w:t>
      </w:r>
      <w:r>
        <w:rPr>
          <w:rFonts w:ascii="Segoe UI Light" w:hAnsi="Segoe UI Light"/>
          <w:b/>
          <w:sz w:val="21"/>
        </w:rPr>
        <w:t>Cognitive Demand</w:t>
      </w:r>
      <w:r>
        <w:rPr>
          <w:rFonts w:ascii="Segoe UI Light" w:hAnsi="Segoe UI Light"/>
          <w:sz w:val="21"/>
        </w:rPr>
        <w:t xml:space="preserve"> scenario loses about 18 percentage points of high </w:t>
      </w:r>
      <w:r>
        <w:rPr>
          <w:rFonts w:ascii="Segoe UI Light" w:hAnsi="Segoe UI Light"/>
          <w:b/>
          <w:sz w:val="21"/>
        </w:rPr>
        <w:t>Work Engagement</w:t>
      </w:r>
      <w:r>
        <w:rPr>
          <w:rFonts w:ascii="Segoe UI Light" w:hAnsi="Segoe UI Light"/>
          <w:sz w:val="21"/>
        </w:rPr>
        <w:t xml:space="preserve">, 4 points of low </w:t>
      </w:r>
      <w:r>
        <w:rPr>
          <w:rFonts w:ascii="Segoe UI Light" w:hAnsi="Segoe UI Light"/>
          <w:b/>
          <w:sz w:val="21"/>
        </w:rPr>
        <w:t>Burnout</w:t>
      </w:r>
      <w:r>
        <w:rPr>
          <w:rFonts w:ascii="Segoe UI Light" w:hAnsi="Segoe UI Light"/>
          <w:sz w:val="21"/>
        </w:rPr>
        <w:t xml:space="preserve"> and 1.5 points of low </w:t>
      </w:r>
      <w:r>
        <w:rPr>
          <w:rFonts w:ascii="Segoe UI Light" w:hAnsi="Segoe UI Light"/>
          <w:b/>
          <w:sz w:val="21"/>
        </w:rPr>
        <w:t>Psych Distress</w:t>
      </w:r>
      <w:r>
        <w:rPr>
          <w:rFonts w:ascii="Segoe UI Light" w:hAnsi="Segoe UI Light"/>
          <w:sz w:val="21"/>
        </w:rPr>
        <w:t>. These are losses in favourable categories. This supports distinguishing excessive workload from useful, manageable challenge, rather than making all work less demanding.</w:t>
      </w:r>
    </w:p>
    <w:p>
      <w:bookmarkStart w:id="5" w:name="_PWToc5"/>
      <w:pPr>
        <w:pStyle w:val="Heading2"/>
      </w:pPr>
      <w:r>
        <w:rPr>
          <w:rFonts w:ascii="Segoe UI Light" w:hAnsi="Segoe UI Light"/>
          <w:b/>
          <w:color w:val="2D5A8E"/>
          <w:sz w:val="22"/>
        </w:rPr>
        <w:t>Preserve and strengthen positive features of work</w:t>
      </w:r>
      <w:bookmarkEnd w:id="5"/>
    </w:p>
    <w:p>
      <w:pPr>
        <w:spacing w:after="120"/>
      </w:pPr>
      <w:r>
        <w:rPr>
          <w:rFonts w:ascii="Segoe UI Light" w:hAnsi="Segoe UI Light"/>
          <w:sz w:val="21"/>
        </w:rPr>
        <w:t xml:space="preserve">The model’s starting position includes high </w:t>
      </w:r>
      <w:r>
        <w:rPr>
          <w:rFonts w:ascii="Segoe UI Light" w:hAnsi="Segoe UI Light"/>
          <w:b/>
          <w:sz w:val="21"/>
        </w:rPr>
        <w:t>Meaningful Work</w:t>
      </w:r>
      <w:r>
        <w:rPr>
          <w:rFonts w:ascii="Segoe UI Light" w:hAnsi="Segoe UI Light"/>
          <w:sz w:val="21"/>
        </w:rPr>
        <w:t xml:space="preserve"> at about 55% and high </w:t>
      </w:r>
      <w:r>
        <w:rPr>
          <w:rFonts w:ascii="Segoe UI Light" w:hAnsi="Segoe UI Light"/>
          <w:b/>
          <w:sz w:val="21"/>
        </w:rPr>
        <w:t>Recognition</w:t>
      </w:r>
      <w:r>
        <w:rPr>
          <w:rFonts w:ascii="Segoe UI Light" w:hAnsi="Segoe UI Light"/>
          <w:sz w:val="21"/>
        </w:rPr>
        <w:t xml:space="preserve"> at about 50%. These favourable modelled conditions give equal reason to ask what should be preserved, not just what needs fixing.</w:t>
      </w:r>
    </w:p>
    <w:p>
      <w:pPr>
        <w:spacing w:after="120"/>
      </w:pPr>
      <w:r>
        <w:rPr>
          <w:rFonts w:ascii="Segoe UI Light" w:hAnsi="Segoe UI Light"/>
          <w:b/>
          <w:sz w:val="21"/>
        </w:rPr>
        <w:t>Meaningful Work</w:t>
      </w:r>
      <w:r>
        <w:rPr>
          <w:rFonts w:ascii="Segoe UI Light" w:hAnsi="Segoe UI Light"/>
          <w:sz w:val="21"/>
        </w:rPr>
        <w:t xml:space="preserve"> describes work that feels purposeful and worthwhile, uses workers’ strengths and makes their contribution clear. Its high scenario gives the largest engagement gain among the five focused comparisons: about 12 percentage points, taking high </w:t>
      </w:r>
      <w:r>
        <w:rPr>
          <w:rFonts w:ascii="Segoe UI Light" w:hAnsi="Segoe UI Light"/>
          <w:b/>
          <w:sz w:val="21"/>
        </w:rPr>
        <w:t>Work Engagement</w:t>
      </w:r>
      <w:r>
        <w:rPr>
          <w:rFonts w:ascii="Segoe UI Light" w:hAnsi="Segoe UI Light"/>
          <w:sz w:val="21"/>
        </w:rPr>
        <w:t xml:space="preserve"> to about 46%. High </w:t>
      </w:r>
      <w:r>
        <w:rPr>
          <w:rFonts w:ascii="Segoe UI Light" w:hAnsi="Segoe UI Light"/>
          <w:b/>
          <w:sz w:val="21"/>
        </w:rPr>
        <w:t>Burnout</w:t>
      </w:r>
      <w:r>
        <w:rPr>
          <w:rFonts w:ascii="Segoe UI Light" w:hAnsi="Segoe UI Light"/>
          <w:sz w:val="21"/>
        </w:rPr>
        <w:t xml:space="preserve"> also reduces by about 4 points and high </w:t>
      </w:r>
      <w:r>
        <w:rPr>
          <w:rFonts w:ascii="Segoe UI Light" w:hAnsi="Segoe UI Light"/>
          <w:b/>
          <w:sz w:val="21"/>
        </w:rPr>
        <w:t>Psych Distress</w:t>
      </w:r>
      <w:r>
        <w:rPr>
          <w:rFonts w:ascii="Segoe UI Light" w:hAnsi="Segoe UI Light"/>
          <w:sz w:val="21"/>
        </w:rPr>
        <w:t xml:space="preserve"> by about 1 point.</w:t>
      </w:r>
    </w:p>
    <w:p>
      <w:pPr>
        <w:spacing w:after="120"/>
      </w:pPr>
      <w:r>
        <w:rPr>
          <w:rFonts w:ascii="Segoe UI Light" w:hAnsi="Segoe UI Light"/>
          <w:sz w:val="21"/>
        </w:rPr>
        <w:t>The practical opportunity is to identify which parts of work workers value before redesigning tasks. Removing duplication may free time for worthwhile work, but removing valued responsibilities could have a different result. Consultation should distinguish those possibilities rather than assume that fewer tasks always means better work.</w:t>
      </w:r>
    </w:p>
    <w:p>
      <w:pPr>
        <w:spacing w:after="120"/>
      </w:pPr>
      <w:r>
        <w:rPr>
          <w:rFonts w:ascii="Segoe UI Light" w:hAnsi="Segoe UI Light"/>
          <w:sz w:val="21"/>
        </w:rPr>
        <w:t xml:space="preserve">In the high </w:t>
      </w:r>
      <w:r>
        <w:rPr>
          <w:rFonts w:ascii="Segoe UI Light" w:hAnsi="Segoe UI Light"/>
          <w:b/>
          <w:sz w:val="21"/>
        </w:rPr>
        <w:t>Recognition</w:t>
      </w:r>
      <w:r>
        <w:rPr>
          <w:rFonts w:ascii="Segoe UI Light" w:hAnsi="Segoe UI Light"/>
          <w:sz w:val="21"/>
        </w:rPr>
        <w:t xml:space="preserve"> scenario, high </w:t>
      </w:r>
      <w:r>
        <w:rPr>
          <w:rFonts w:ascii="Segoe UI Light" w:hAnsi="Segoe UI Light"/>
          <w:b/>
          <w:sz w:val="21"/>
        </w:rPr>
        <w:t>Work Engagement</w:t>
      </w:r>
      <w:r>
        <w:rPr>
          <w:rFonts w:ascii="Segoe UI Light" w:hAnsi="Segoe UI Light"/>
          <w:sz w:val="21"/>
        </w:rPr>
        <w:t xml:space="preserve"> gains about 11 percentage points, to about 45%. High </w:t>
      </w:r>
      <w:r>
        <w:rPr>
          <w:rFonts w:ascii="Segoe UI Light" w:hAnsi="Segoe UI Light"/>
          <w:b/>
          <w:sz w:val="21"/>
        </w:rPr>
        <w:t>Burnout</w:t>
      </w:r>
      <w:r>
        <w:rPr>
          <w:rFonts w:ascii="Segoe UI Light" w:hAnsi="Segoe UI Light"/>
          <w:sz w:val="21"/>
        </w:rPr>
        <w:t xml:space="preserve"> reduces by about 5 points and high </w:t>
      </w:r>
      <w:r>
        <w:rPr>
          <w:rFonts w:ascii="Segoe UI Light" w:hAnsi="Segoe UI Light"/>
          <w:b/>
          <w:sz w:val="21"/>
        </w:rPr>
        <w:t>Psych Distress</w:t>
      </w:r>
      <w:r>
        <w:rPr>
          <w:rFonts w:ascii="Segoe UI Light" w:hAnsi="Segoe UI Light"/>
          <w:sz w:val="21"/>
        </w:rPr>
        <w:t xml:space="preserve"> by about 3 points.</w:t>
      </w:r>
    </w:p>
    <w:p>
      <w:pPr>
        <w:spacing w:after="120"/>
      </w:pPr>
      <w:r>
        <w:rPr>
          <w:rFonts w:ascii="Segoe UI Light" w:hAnsi="Segoe UI Light"/>
          <w:b/>
          <w:sz w:val="21"/>
        </w:rPr>
        <w:t>Recognition</w:t>
      </w:r>
      <w:r>
        <w:rPr>
          <w:rFonts w:ascii="Segoe UI Light" w:hAnsi="Segoe UI Light"/>
          <w:sz w:val="21"/>
        </w:rPr>
        <w:t xml:space="preserve"> includes feedback and acknowledgement, but also fair pay and opportunities to progress. Local consultation should establish which aspect matters. A gap in timely feedback may be addressed by managers; concerns about pay or progression may require decisions from senior leaders. Recognition should complement, not replace, action on confirmed excessive demands.</w:t>
      </w:r>
    </w:p>
    <w:p>
      <w:bookmarkStart w:id="6" w:name="_PWToc6"/>
      <w:pPr>
        <w:pStyle w:val="Heading2"/>
      </w:pPr>
      <w:r>
        <w:rPr>
          <w:rFonts w:ascii="Segoe UI Light" w:hAnsi="Segoe UI Light"/>
          <w:b/>
          <w:color w:val="2D5A8E"/>
          <w:sz w:val="22"/>
        </w:rPr>
        <w:t>Address emotional demands where they occur</w:t>
      </w:r>
      <w:bookmarkEnd w:id="6"/>
    </w:p>
    <w:p>
      <w:pPr>
        <w:spacing w:after="120"/>
      </w:pPr>
      <w:r>
        <w:rPr>
          <w:rFonts w:ascii="Segoe UI Light" w:hAnsi="Segoe UI Light"/>
          <w:sz w:val="21"/>
        </w:rPr>
        <w:t xml:space="preserve">In the low </w:t>
      </w:r>
      <w:r>
        <w:rPr>
          <w:rFonts w:ascii="Segoe UI Light" w:hAnsi="Segoe UI Light"/>
          <w:b/>
          <w:sz w:val="21"/>
        </w:rPr>
        <w:t>Emotional Demand</w:t>
      </w:r>
      <w:r>
        <w:rPr>
          <w:rFonts w:ascii="Segoe UI Light" w:hAnsi="Segoe UI Light"/>
          <w:sz w:val="21"/>
        </w:rPr>
        <w:t xml:space="preserve"> scenario, high </w:t>
      </w:r>
      <w:r>
        <w:rPr>
          <w:rFonts w:ascii="Segoe UI Light" w:hAnsi="Segoe UI Light"/>
          <w:b/>
          <w:sz w:val="21"/>
        </w:rPr>
        <w:t>Burnout</w:t>
      </w:r>
      <w:r>
        <w:rPr>
          <w:rFonts w:ascii="Segoe UI Light" w:hAnsi="Segoe UI Light"/>
          <w:sz w:val="21"/>
        </w:rPr>
        <w:t xml:space="preserve"> reduces by about 9 percentage points and high </w:t>
      </w:r>
      <w:r>
        <w:rPr>
          <w:rFonts w:ascii="Segoe UI Light" w:hAnsi="Segoe UI Light"/>
          <w:b/>
          <w:sz w:val="21"/>
        </w:rPr>
        <w:t>Psych Distress</w:t>
      </w:r>
      <w:r>
        <w:rPr>
          <w:rFonts w:ascii="Segoe UI Light" w:hAnsi="Segoe UI Light"/>
          <w:sz w:val="21"/>
        </w:rPr>
        <w:t xml:space="preserve"> by about 3 points. There is no estimated change in high </w:t>
      </w:r>
      <w:r>
        <w:rPr>
          <w:rFonts w:ascii="Segoe UI Light" w:hAnsi="Segoe UI Light"/>
          <w:b/>
          <w:sz w:val="21"/>
        </w:rPr>
        <w:t>Work Engagement</w:t>
      </w:r>
      <w:r>
        <w:rPr>
          <w:rFonts w:ascii="Segoe UI Light" w:hAnsi="Segoe UI Light"/>
          <w:sz w:val="21"/>
        </w:rPr>
        <w:t>.</w:t>
      </w:r>
    </w:p>
    <w:p>
      <w:pPr>
        <w:spacing w:after="120"/>
      </w:pPr>
      <w:r>
        <w:rPr>
          <w:rFonts w:ascii="Segoe UI Light" w:hAnsi="Segoe UI Light"/>
          <w:b/>
          <w:sz w:val="21"/>
        </w:rPr>
        <w:t>Emotional Demand</w:t>
      </w:r>
      <w:r>
        <w:rPr>
          <w:rFonts w:ascii="Segoe UI Light" w:hAnsi="Segoe UI Light"/>
          <w:sz w:val="21"/>
        </w:rPr>
        <w:t xml:space="preserve"> includes responding to others’ distress and managing the emotions shown at work. Its results support targeted investigation of roles and situations involving these demands. Engagement alone would be an incomplete check on whether such work is safe and manageable.</w:t>
      </w:r>
    </w:p>
    <w:p>
      <w:pPr>
        <w:spacing w:after="120"/>
      </w:pPr>
      <w:r>
        <w:rPr>
          <w:rFonts w:ascii="Segoe UI Light" w:hAnsi="Segoe UI Light"/>
          <w:sz w:val="21"/>
        </w:rPr>
        <w:t>Where demanding interactions are inherent to the role, practical options may include reducing avoidable exposure, ensuring help is available during difficult situations, and providing covered recovery time. These are possibilities to examine locally, not established explanations for conditions at Test Org.</w:t>
      </w:r>
    </w:p>
    <w:p>
      <w:bookmarkStart w:id="7" w:name="_PWToc7"/>
      <w:pPr>
        <w:pStyle w:val="Heading2"/>
      </w:pPr>
      <w:r>
        <w:rPr>
          <w:rFonts w:ascii="Segoe UI Light" w:hAnsi="Segoe UI Light"/>
          <w:b/>
          <w:color w:val="2D5A8E"/>
          <w:sz w:val="22"/>
        </w:rPr>
        <w:t>Combined comparisons help clarify priorities</w:t>
      </w:r>
      <w:bookmarkEnd w:id="7"/>
    </w:p>
    <w:p>
      <w:pPr>
        <w:spacing w:after="120"/>
      </w:pPr>
      <w:r>
        <w:rPr>
          <w:rFonts w:ascii="Segoe UI Light" w:hAnsi="Segoe UI Light"/>
          <w:sz w:val="21"/>
        </w:rPr>
        <w:t>Two supplied combinations illustrate the balance between reducing adverse outcomes and strengthening engagement. They are alternative comparisons, not mutually exclusive action plans.</w:t>
      </w:r>
    </w:p>
    <w:p>
      <w:pPr>
        <w:spacing w:after="120"/>
      </w:pPr>
      <w:r>
        <w:rPr>
          <w:rFonts w:ascii="Segoe UI Light" w:hAnsi="Segoe UI Light"/>
          <w:sz w:val="21"/>
        </w:rPr>
        <w:t>The table shows rounded percentage-point changes from the model’s starting position.</w:t>
      </w:r>
    </w:p>
    <w:tbl>
      <w:tblPr>
        <w:tblStyle w:val="TableGrid"/>
        <w:tblLayout w:type="fixed"/>
        <w:tblLook w:firstColumn="1" w:firstRow="1" w:lastColumn="0" w:lastRow="0" w:noHBand="0" w:noVBand="1" w:val="04A0"/>
        <w:tblW w:w="5000" w:type="pct"/>
      </w:tblPr>
      <w:tblGrid>
        <w:gridCol w:w="2268"/>
        <w:gridCol w:w="2268"/>
        <w:gridCol w:w="2268"/>
        <w:gridCol w:w="2268"/>
      </w:tblGrid>
      <w:tr>
        <w:trPr>
          <w:tblHeader/>
          <w:cantSplit/>
        </w:trPr>
        <w:tc>
          <w:tcPr>
            <w:tcW w:type="dxa" w:w="2268"/>
            <w:shd w:fill="1E3A5F" w:val="clear"/>
            <w:vAlign w:val="center"/>
          </w:tcPr>
          <w:p>
            <w:pPr>
              <w:keepNext/>
              <w:spacing w:after="60" w:before="60"/>
              <w:jc w:val="left"/>
            </w:pPr>
            <w:r>
              <w:rPr>
                <w:rFonts w:ascii="Segoe UI Light" w:hAnsi="Segoe UI Light"/>
                <w:b/>
                <w:color w:val="FFFFFF"/>
                <w:sz w:val="18"/>
              </w:rPr>
              <w:t>Conditions experienced in the scenario</w:t>
            </w:r>
          </w:p>
        </w:tc>
        <w:tc>
          <w:tcPr>
            <w:tcW w:type="dxa" w:w="2268"/>
            <w:shd w:fill="1E3A5F" w:val="clear"/>
            <w:vAlign w:val="center"/>
          </w:tcPr>
          <w:p>
            <w:pPr>
              <w:keepNext/>
              <w:spacing w:after="60" w:before="60"/>
              <w:jc w:val="left"/>
            </w:pPr>
            <w:r>
              <w:rPr>
                <w:rFonts w:ascii="Segoe UI Light" w:hAnsi="Segoe UI Light"/>
                <w:b/>
                <w:color w:val="FFFFFF"/>
                <w:sz w:val="18"/>
              </w:rPr>
              <w:t>Reduction in high Burnout</w:t>
            </w:r>
          </w:p>
        </w:tc>
        <w:tc>
          <w:tcPr>
            <w:tcW w:type="dxa" w:w="2268"/>
            <w:shd w:fill="1E3A5F" w:val="clear"/>
            <w:vAlign w:val="center"/>
          </w:tcPr>
          <w:p>
            <w:pPr>
              <w:keepNext/>
              <w:spacing w:after="60" w:before="60"/>
              <w:jc w:val="left"/>
            </w:pPr>
            <w:r>
              <w:rPr>
                <w:rFonts w:ascii="Segoe UI Light" w:hAnsi="Segoe UI Light"/>
                <w:b/>
                <w:color w:val="FFFFFF"/>
                <w:sz w:val="18"/>
              </w:rPr>
              <w:t>Reduction in high Psych Distress</w:t>
            </w:r>
          </w:p>
        </w:tc>
        <w:tc>
          <w:tcPr>
            <w:tcW w:type="dxa" w:w="2268"/>
            <w:shd w:fill="1E3A5F" w:val="clear"/>
            <w:vAlign w:val="center"/>
          </w:tcPr>
          <w:p>
            <w:pPr>
              <w:keepNext/>
              <w:spacing w:after="60" w:before="60"/>
              <w:jc w:val="left"/>
            </w:pPr>
            <w:r>
              <w:rPr>
                <w:rFonts w:ascii="Segoe UI Light" w:hAnsi="Segoe UI Light"/>
                <w:b/>
                <w:color w:val="FFFFFF"/>
                <w:sz w:val="18"/>
              </w:rPr>
              <w:t>Gain in high Work Engagement</w:t>
            </w:r>
          </w:p>
        </w:tc>
      </w:tr>
      <w:tr>
        <w:trPr>
          <w:cantSplit/>
        </w:trPr>
        <w:tc>
          <w:tcPr>
            <w:tcW w:type="dxa" w:w="2268"/>
            <w:vAlign w:val="center"/>
          </w:tcPr>
          <w:p>
            <w:pPr>
              <w:keepNext/>
              <w:spacing w:after="60" w:before="60"/>
            </w:pPr>
            <w:r/>
            <w:r>
              <w:rPr>
                <w:rFonts w:ascii="Segoe UI Light" w:hAnsi="Segoe UI Light"/>
                <w:sz w:val="18"/>
              </w:rPr>
              <w:t xml:space="preserve">A: Low </w:t>
            </w:r>
            <w:r>
              <w:rPr>
                <w:rFonts w:ascii="Segoe UI Light" w:hAnsi="Segoe UI Light"/>
                <w:b/>
                <w:sz w:val="18"/>
              </w:rPr>
              <w:t>Role Overload</w:t>
            </w:r>
            <w:r>
              <w:rPr>
                <w:rFonts w:ascii="Segoe UI Light" w:hAnsi="Segoe UI Light"/>
                <w:sz w:val="18"/>
              </w:rPr>
              <w:t xml:space="preserve">, low </w:t>
            </w:r>
            <w:r>
              <w:rPr>
                <w:rFonts w:ascii="Segoe UI Light" w:hAnsi="Segoe UI Light"/>
                <w:b/>
                <w:sz w:val="18"/>
              </w:rPr>
              <w:t>Work Life Conflict</w:t>
            </w:r>
            <w:r>
              <w:rPr>
                <w:rFonts w:ascii="Segoe UI Light" w:hAnsi="Segoe UI Light"/>
                <w:sz w:val="18"/>
              </w:rPr>
              <w:t xml:space="preserve"> and high </w:t>
            </w:r>
            <w:r>
              <w:rPr>
                <w:rFonts w:ascii="Segoe UI Light" w:hAnsi="Segoe UI Light"/>
                <w:b/>
                <w:sz w:val="18"/>
              </w:rPr>
              <w:t>Meaningful Work</w:t>
            </w:r>
          </w:p>
        </w:tc>
        <w:tc>
          <w:tcPr>
            <w:tcW w:type="dxa" w:w="2268"/>
            <w:vAlign w:val="center"/>
          </w:tcPr>
          <w:p>
            <w:pPr>
              <w:keepNext/>
              <w:spacing w:after="60" w:before="60"/>
              <w:jc w:val="center"/>
            </w:pPr>
            <w:r/>
            <w:r>
              <w:rPr>
                <w:rFonts w:ascii="Segoe UI Light" w:hAnsi="Segoe UI Light"/>
                <w:sz w:val="18"/>
              </w:rPr>
              <w:t>20</w:t>
            </w:r>
          </w:p>
        </w:tc>
        <w:tc>
          <w:tcPr>
            <w:tcW w:type="dxa" w:w="2268"/>
            <w:vAlign w:val="center"/>
          </w:tcPr>
          <w:p>
            <w:pPr>
              <w:keepNext/>
              <w:spacing w:after="60" w:before="60"/>
              <w:jc w:val="center"/>
            </w:pPr>
            <w:r/>
            <w:r>
              <w:rPr>
                <w:rFonts w:ascii="Segoe UI Light" w:hAnsi="Segoe UI Light"/>
                <w:sz w:val="18"/>
              </w:rPr>
              <w:t>12</w:t>
            </w:r>
          </w:p>
        </w:tc>
        <w:tc>
          <w:tcPr>
            <w:tcW w:type="dxa" w:w="2268"/>
            <w:vAlign w:val="center"/>
          </w:tcPr>
          <w:p>
            <w:pPr>
              <w:keepNext/>
              <w:spacing w:after="60" w:before="60"/>
              <w:jc w:val="center"/>
            </w:pPr>
            <w:r/>
            <w:r>
              <w:rPr>
                <w:rFonts w:ascii="Segoe UI Light" w:hAnsi="Segoe UI Light"/>
                <w:sz w:val="18"/>
              </w:rPr>
              <w:t>15</w:t>
            </w:r>
          </w:p>
        </w:tc>
      </w:tr>
      <w:tr>
        <w:trPr>
          <w:cantSplit/>
        </w:trPr>
        <w:tc>
          <w:tcPr>
            <w:tcW w:type="dxa" w:w="2268"/>
            <w:shd w:fill="F1F5F9" w:val="clear"/>
            <w:vAlign w:val="center"/>
          </w:tcPr>
          <w:p>
            <w:pPr>
              <w:keepNext w:val="0"/>
              <w:spacing w:after="60" w:before="60"/>
            </w:pPr>
            <w:r/>
            <w:r>
              <w:rPr>
                <w:rFonts w:ascii="Segoe UI Light" w:hAnsi="Segoe UI Light"/>
                <w:sz w:val="18"/>
              </w:rPr>
              <w:t xml:space="preserve">B: Low </w:t>
            </w:r>
            <w:r>
              <w:rPr>
                <w:rFonts w:ascii="Segoe UI Light" w:hAnsi="Segoe UI Light"/>
                <w:b/>
                <w:sz w:val="18"/>
              </w:rPr>
              <w:t>Work Life Conflict</w:t>
            </w:r>
            <w:r>
              <w:rPr>
                <w:rFonts w:ascii="Segoe UI Light" w:hAnsi="Segoe UI Light"/>
                <w:sz w:val="18"/>
              </w:rPr>
              <w:t xml:space="preserve">, high </w:t>
            </w:r>
            <w:r>
              <w:rPr>
                <w:rFonts w:ascii="Segoe UI Light" w:hAnsi="Segoe UI Light"/>
                <w:b/>
                <w:sz w:val="18"/>
              </w:rPr>
              <w:t>Recognition</w:t>
            </w:r>
            <w:r>
              <w:rPr>
                <w:rFonts w:ascii="Segoe UI Light" w:hAnsi="Segoe UI Light"/>
                <w:sz w:val="18"/>
              </w:rPr>
              <w:t xml:space="preserve"> and high </w:t>
            </w:r>
            <w:r>
              <w:rPr>
                <w:rFonts w:ascii="Segoe UI Light" w:hAnsi="Segoe UI Light"/>
                <w:b/>
                <w:sz w:val="18"/>
              </w:rPr>
              <w:t>Meaningful Work</w:t>
            </w:r>
          </w:p>
        </w:tc>
        <w:tc>
          <w:tcPr>
            <w:tcW w:type="dxa" w:w="2268"/>
            <w:shd w:fill="F1F5F9" w:val="clear"/>
            <w:vAlign w:val="center"/>
          </w:tcPr>
          <w:p>
            <w:pPr>
              <w:keepNext w:val="0"/>
              <w:spacing w:after="60" w:before="60"/>
              <w:jc w:val="center"/>
            </w:pPr>
            <w:r/>
            <w:r>
              <w:rPr>
                <w:rFonts w:ascii="Segoe UI Light" w:hAnsi="Segoe UI Light"/>
                <w:sz w:val="18"/>
              </w:rPr>
              <w:t>15</w:t>
            </w:r>
          </w:p>
        </w:tc>
        <w:tc>
          <w:tcPr>
            <w:tcW w:type="dxa" w:w="2268"/>
            <w:shd w:fill="F1F5F9" w:val="clear"/>
            <w:vAlign w:val="center"/>
          </w:tcPr>
          <w:p>
            <w:pPr>
              <w:keepNext w:val="0"/>
              <w:spacing w:after="60" w:before="60"/>
              <w:jc w:val="center"/>
            </w:pPr>
            <w:r/>
            <w:r>
              <w:rPr>
                <w:rFonts w:ascii="Segoe UI Light" w:hAnsi="Segoe UI Light"/>
                <w:sz w:val="18"/>
              </w:rPr>
              <w:t>10</w:t>
            </w:r>
          </w:p>
        </w:tc>
        <w:tc>
          <w:tcPr>
            <w:tcW w:type="dxa" w:w="2268"/>
            <w:shd w:fill="F1F5F9" w:val="clear"/>
            <w:vAlign w:val="center"/>
          </w:tcPr>
          <w:p>
            <w:pPr>
              <w:keepNext w:val="0"/>
              <w:spacing w:after="60" w:before="60"/>
              <w:jc w:val="center"/>
            </w:pPr>
            <w:r/>
            <w:r>
              <w:rPr>
                <w:rFonts w:ascii="Segoe UI Light" w:hAnsi="Segoe UI Light"/>
                <w:sz w:val="18"/>
              </w:rPr>
              <w:t>30</w:t>
            </w:r>
          </w:p>
        </w:tc>
      </w:tr>
    </w:tbl>
    <w:p>
      <w:pPr>
        <w:spacing w:after="0"/>
      </w:pPr>
    </w:p>
    <w:p>
      <w:pPr>
        <w:spacing w:after="120"/>
      </w:pPr>
      <w:r>
        <w:rPr>
          <w:rFonts w:ascii="Segoe UI Light" w:hAnsi="Segoe UI Light"/>
          <w:sz w:val="21"/>
        </w:rPr>
        <w:t>Scenario A estimates larger reductions in the adverse categories. Scenario B estimates a larger engagement gain. For leaders, this means the choice of work to investigate and resource first should reflect locally established harm as well as positive-work opportunities. A larger engagement gain is not a reason to leave confirmed overload unaddressed.</w:t>
      </w:r>
    </w:p>
    <w:p>
      <w:pPr>
        <w:spacing w:after="120"/>
      </w:pPr>
      <w:r>
        <w:rPr>
          <w:rFonts w:ascii="Segoe UI Light" w:hAnsi="Segoe UI Light"/>
          <w:sz w:val="21"/>
        </w:rPr>
        <w:t xml:space="preserve">The supplied joint assessment also cautions against adding separate gains. In Scenario A, gains in high </w:t>
      </w:r>
      <w:r>
        <w:rPr>
          <w:rFonts w:ascii="Segoe UI Light" w:hAnsi="Segoe UI Light"/>
          <w:b/>
          <w:sz w:val="21"/>
        </w:rPr>
        <w:t>Work Engagement</w:t>
      </w:r>
      <w:r>
        <w:rPr>
          <w:rFonts w:ascii="Segoe UI Light" w:hAnsi="Segoe UI Light"/>
          <w:sz w:val="21"/>
        </w:rPr>
        <w:t xml:space="preserve">, low </w:t>
      </w:r>
      <w:r>
        <w:rPr>
          <w:rFonts w:ascii="Segoe UI Light" w:hAnsi="Segoe UI Light"/>
          <w:b/>
          <w:sz w:val="21"/>
        </w:rPr>
        <w:t>Burnout</w:t>
      </w:r>
      <w:r>
        <w:rPr>
          <w:rFonts w:ascii="Segoe UI Light" w:hAnsi="Segoe UI Light"/>
          <w:sz w:val="21"/>
        </w:rPr>
        <w:t xml:space="preserve"> and low </w:t>
      </w:r>
      <w:r>
        <w:rPr>
          <w:rFonts w:ascii="Segoe UI Light" w:hAnsi="Segoe UI Light"/>
          <w:b/>
          <w:sz w:val="21"/>
        </w:rPr>
        <w:t>Psych Distress</w:t>
      </w:r>
      <w:r>
        <w:rPr>
          <w:rFonts w:ascii="Segoe UI Light" w:hAnsi="Segoe UI Light"/>
          <w:sz w:val="21"/>
        </w:rPr>
        <w:t xml:space="preserve"> overlap: the combined gains are smaller than the sum of the separate gains. In Scenario B, the engagement gain is close to the sum of the separate gains, while gains in the other two favourable categories overlap. The table therefore uses the supplied combined estimates.</w:t>
      </w:r>
    </w:p>
    <w:p>
      <w:bookmarkStart w:id="8" w:name="_PWToc8"/>
      <w:pPr>
        <w:pStyle w:val="Heading1"/>
      </w:pPr>
      <w:r>
        <w:rPr>
          <w:rFonts w:ascii="Segoe UI Light" w:hAnsi="Segoe UI Light"/>
          <w:b/>
          <w:color w:val="1E3A5F"/>
          <w:sz w:val="28"/>
        </w:rPr>
        <w:t>Recommended Next Steps</w:t>
      </w:r>
      <w:bookmarkEnd w:id="8"/>
    </w:p>
    <w:p>
      <w:bookmarkStart w:id="9" w:name="_PWToc9"/>
      <w:pPr>
        <w:pStyle w:val="Heading2"/>
      </w:pPr>
      <w:r>
        <w:rPr>
          <w:rFonts w:ascii="Segoe UI Light" w:hAnsi="Segoe UI Light"/>
          <w:b/>
          <w:color w:val="2D5A8E"/>
          <w:sz w:val="22"/>
        </w:rPr>
        <w:t>1. Establish local evidence and clear ownership</w:t>
      </w:r>
      <w:bookmarkEnd w:id="9"/>
    </w:p>
    <w:p>
      <w:pPr>
        <w:spacing w:after="120"/>
      </w:pPr>
      <w:r>
        <w:rPr>
          <w:rFonts w:ascii="Segoe UI Light" w:hAnsi="Segoe UI Light"/>
          <w:sz w:val="21"/>
        </w:rPr>
        <w:t>Senior leaders should appoint an executive sponsor and a coordinating lead, supported by those responsible for operations, work health and safety, and people management. Workers and their representatives should help identify problems and shape workable changes.</w:t>
      </w:r>
    </w:p>
    <w:p>
      <w:pPr>
        <w:spacing w:after="120"/>
      </w:pPr>
      <w:r>
        <w:rPr>
          <w:rFonts w:ascii="Segoe UI Light" w:hAnsi="Segoe UI Light"/>
          <w:sz w:val="21"/>
        </w:rPr>
        <w:t>The first task is to check current initiatives, existing controls, planned changes and available resources. Suitable existing work should be strengthened rather than replaced by a parallel programme. Leaders should also make clear who can approve changes to priorities, staffing, schedules, pay or progression.</w:t>
      </w:r>
    </w:p>
    <w:p>
      <w:pPr>
        <w:spacing w:after="120"/>
      </w:pPr>
      <w:r>
        <w:rPr>
          <w:rFonts w:ascii="Segoe UI Light" w:hAnsi="Segoe UI Light"/>
          <w:sz w:val="21"/>
        </w:rPr>
        <w:t>Establish a first documented local baseline for this plan, drawing on any suitable existing evidence to avoid duplication. Use confidential assessment and consultation across relevant roles and work patterns. Record:</w:t>
      </w:r>
    </w:p>
    <w:p>
      <w:pPr>
        <w:pStyle w:val="ListBullet"/>
        <w:spacing w:after="60"/>
      </w:pPr>
      <w:r>
        <w:rPr>
          <w:rFonts w:ascii="Segoe UI Light" w:hAnsi="Segoe UI Light"/>
          <w:sz w:val="21"/>
        </w:rPr>
        <w:t>The questions, outcome categories, assessment date and participation.</w:t>
      </w:r>
    </w:p>
    <w:p>
      <w:pPr>
        <w:pStyle w:val="ListBullet"/>
        <w:spacing w:after="60"/>
      </w:pPr>
      <w:r>
        <w:rPr>
          <w:rFonts w:ascii="Segoe UI Light" w:hAnsi="Segoe UI Light"/>
          <w:sz w:val="21"/>
        </w:rPr>
        <w:t>Workers’ experiences of the five focused conditions and all three outcomes.</w:t>
      </w:r>
    </w:p>
    <w:p>
      <w:pPr>
        <w:pStyle w:val="ListBullet"/>
        <w:spacing w:after="60"/>
      </w:pPr>
      <w:r>
        <w:rPr>
          <w:rFonts w:ascii="Segoe UI Light" w:hAnsi="Segoe UI Light"/>
          <w:sz w:val="21"/>
        </w:rPr>
        <w:t>Relevant work information, such as demand volumes, unplanned overtime, schedule changes or missed breaks.</w:t>
      </w:r>
    </w:p>
    <w:p>
      <w:pPr>
        <w:pStyle w:val="ListBullet"/>
        <w:spacing w:after="60"/>
      </w:pPr>
      <w:r>
        <w:rPr>
          <w:rFonts w:ascii="Segoe UI Light" w:hAnsi="Segoe UI Light"/>
          <w:sz w:val="21"/>
        </w:rPr>
        <w:t>Existing arrangements that workers find useful and want retained.</w:t>
      </w:r>
    </w:p>
    <w:p>
      <w:pPr>
        <w:spacing w:after="120"/>
      </w:pPr>
      <w:r>
        <w:rPr>
          <w:rFonts w:ascii="Segoe UI Light" w:hAnsi="Segoe UI Light"/>
          <w:sz w:val="21"/>
        </w:rPr>
        <w:t>This assessment should establish where concerns occur, how serious they are and which work arrangements can be changed. It should not use the model’s starting percentages as Test Org’s measured baseline.</w:t>
      </w:r>
    </w:p>
    <w:p>
      <w:bookmarkStart w:id="10" w:name="_PWToc10"/>
      <w:pPr>
        <w:pStyle w:val="Heading2"/>
      </w:pPr>
      <w:r>
        <w:rPr>
          <w:rFonts w:ascii="Segoe UI Light" w:hAnsi="Segoe UI Light"/>
          <w:b/>
          <w:color w:val="2D5A8E"/>
          <w:sz w:val="22"/>
        </w:rPr>
        <w:t>2. Protect workers promptly where harm is already known</w:t>
      </w:r>
      <w:bookmarkEnd w:id="10"/>
    </w:p>
    <w:p>
      <w:pPr>
        <w:spacing w:after="120"/>
      </w:pPr>
      <w:r>
        <w:rPr>
          <w:rFonts w:ascii="Segoe UI Light" w:hAnsi="Segoe UI Light"/>
          <w:sz w:val="21"/>
        </w:rPr>
        <w:t>Locally established harmful conditions should not wait for the assessment or a longer-term redesign programme. Responsible managers should take prompt protective action within their authority and escalate resource or service decisions they cannot resolve.</w:t>
      </w:r>
    </w:p>
    <w:p>
      <w:pPr>
        <w:spacing w:after="120"/>
      </w:pPr>
      <w:r>
        <w:rPr>
          <w:rFonts w:ascii="Segoe UI Light" w:hAnsi="Segoe UI Light"/>
          <w:sz w:val="21"/>
        </w:rPr>
        <w:t>Depending on the issue, temporary options may include deferring lower-priority work, changing deadlines, providing additional coverage, protecting breaks or clarifying how to obtain help during demanding interactions. Appropriate confidential support can sit alongside these changes, not replace them.</w:t>
      </w:r>
    </w:p>
    <w:p>
      <w:pPr>
        <w:spacing w:after="120"/>
      </w:pPr>
      <w:r>
        <w:rPr>
          <w:rFonts w:ascii="Segoe UI Light" w:hAnsi="Segoe UI Light"/>
          <w:sz w:val="21"/>
        </w:rPr>
        <w:t>Before reallocating work, check what will happen to the receiving workers’ workload and support. A change that merely moves excessive demands to another team has not resolved the problem. Temporary arrangements should have an owner and frequent review while a sustainable solution is developed.</w:t>
      </w:r>
    </w:p>
    <w:p>
      <w:bookmarkStart w:id="11" w:name="_PWToc11"/>
      <w:pPr>
        <w:pStyle w:val="Heading2"/>
      </w:pPr>
      <w:r>
        <w:rPr>
          <w:rFonts w:ascii="Segoe UI Light" w:hAnsi="Segoe UI Light"/>
          <w:b/>
          <w:color w:val="2D5A8E"/>
          <w:sz w:val="22"/>
        </w:rPr>
        <w:t>3. Co-design a small number of practical work changes</w:t>
      </w:r>
      <w:bookmarkEnd w:id="11"/>
    </w:p>
    <w:p>
      <w:pPr>
        <w:spacing w:after="120"/>
      </w:pPr>
      <w:r>
        <w:rPr>
          <w:rFonts w:ascii="Segoe UI Light" w:hAnsi="Segoe UI Light"/>
          <w:sz w:val="21"/>
        </w:rPr>
        <w:t>The following are suggestions for consultation and testing, not findings about local causes. Selection should depend on the local assessment, available authority and resources.</w:t>
      </w:r>
    </w:p>
    <w:tbl>
      <w:tblPr>
        <w:tblStyle w:val="TableGrid"/>
        <w:tblLayout w:type="fixed"/>
        <w:tblLook w:firstColumn="1" w:firstRow="1" w:lastColumn="0" w:lastRow="0" w:noHBand="0" w:noVBand="1" w:val="04A0"/>
        <w:tblW w:w="5000" w:type="pct"/>
      </w:tblPr>
      <w:tblGrid>
        <w:gridCol w:w="3024"/>
        <w:gridCol w:w="3024"/>
        <w:gridCol w:w="3024"/>
      </w:tblGrid>
      <w:tr>
        <w:trPr>
          <w:tblHeader/>
          <w:cantSplit/>
        </w:trPr>
        <w:tc>
          <w:tcPr>
            <w:tcW w:type="dxa" w:w="3024"/>
            <w:shd w:fill="1E3A5F" w:val="clear"/>
            <w:vAlign w:val="center"/>
          </w:tcPr>
          <w:p>
            <w:pPr>
              <w:keepNext/>
              <w:spacing w:after="60" w:before="60"/>
              <w:jc w:val="left"/>
            </w:pPr>
            <w:r>
              <w:rPr>
                <w:rFonts w:ascii="Segoe UI Light" w:hAnsi="Segoe UI Light"/>
                <w:b/>
                <w:color w:val="FFFFFF"/>
                <w:sz w:val="18"/>
              </w:rPr>
              <w:t>Focus</w:t>
            </w:r>
          </w:p>
        </w:tc>
        <w:tc>
          <w:tcPr>
            <w:tcW w:type="dxa" w:w="3024"/>
            <w:shd w:fill="1E3A5F" w:val="clear"/>
            <w:vAlign w:val="center"/>
          </w:tcPr>
          <w:p>
            <w:pPr>
              <w:keepNext/>
              <w:spacing w:after="60" w:before="60"/>
              <w:jc w:val="left"/>
            </w:pPr>
            <w:r>
              <w:rPr>
                <w:rFonts w:ascii="Segoe UI Light" w:hAnsi="Segoe UI Light"/>
                <w:b/>
                <w:color w:val="FFFFFF"/>
                <w:sz w:val="18"/>
              </w:rPr>
              <w:t>What consultation should establish</w:t>
            </w:r>
          </w:p>
        </w:tc>
        <w:tc>
          <w:tcPr>
            <w:tcW w:type="dxa" w:w="3024"/>
            <w:shd w:fill="1E3A5F" w:val="clear"/>
            <w:vAlign w:val="center"/>
          </w:tcPr>
          <w:p>
            <w:pPr>
              <w:keepNext/>
              <w:spacing w:after="60" w:before="60"/>
              <w:jc w:val="left"/>
            </w:pPr>
            <w:r>
              <w:rPr>
                <w:rFonts w:ascii="Segoe UI Light" w:hAnsi="Segoe UI Light"/>
                <w:b/>
                <w:color w:val="FFFFFF"/>
                <w:sz w:val="18"/>
              </w:rPr>
              <w:t>Suggested decision and responsible role</w:t>
            </w:r>
          </w:p>
        </w:tc>
      </w:tr>
      <w:tr>
        <w:trPr>
          <w:cantSplit/>
        </w:trPr>
        <w:tc>
          <w:tcPr>
            <w:tcW w:type="dxa" w:w="3024"/>
            <w:vAlign w:val="center"/>
          </w:tcPr>
          <w:p>
            <w:pPr>
              <w:keepNext w:val="0"/>
              <w:spacing w:after="60" w:before="60"/>
            </w:pPr>
            <w:r/>
            <w:r>
              <w:rPr>
                <w:rFonts w:ascii="Segoe UI Light" w:hAnsi="Segoe UI Light"/>
                <w:b/>
                <w:sz w:val="18"/>
              </w:rPr>
              <w:t>Role Overload</w:t>
            </w:r>
          </w:p>
        </w:tc>
        <w:tc>
          <w:tcPr>
            <w:tcW w:type="dxa" w:w="3024"/>
            <w:vAlign w:val="center"/>
          </w:tcPr>
          <w:p>
            <w:pPr>
              <w:keepNext w:val="0"/>
              <w:spacing w:after="60" w:before="60"/>
            </w:pPr>
            <w:r/>
            <w:r>
              <w:rPr>
                <w:rFonts w:ascii="Segoe UI Light" w:hAnsi="Segoe UI Light"/>
                <w:sz w:val="18"/>
              </w:rPr>
              <w:t>Which tasks, deadlines or demand peaks make work unmanageable? What could stop, change or receive more time without moving the problem elsewhere?</w:t>
            </w:r>
          </w:p>
        </w:tc>
        <w:tc>
          <w:tcPr>
            <w:tcW w:type="dxa" w:w="3024"/>
            <w:vAlign w:val="center"/>
          </w:tcPr>
          <w:p>
            <w:pPr>
              <w:keepNext w:val="0"/>
              <w:spacing w:after="60" w:before="60"/>
            </w:pPr>
            <w:r/>
            <w:r>
              <w:rPr>
                <w:rFonts w:ascii="Segoe UI Light" w:hAnsi="Segoe UI Light"/>
                <w:sz w:val="18"/>
              </w:rPr>
              <w:t>Operational leaders could remove duplication, agree priorities or change deadlines. If essential demand still exceeds capacity, senior leaders should decide on resources or service expectations rather than relying on workers to work faster.</w:t>
            </w:r>
          </w:p>
        </w:tc>
      </w:tr>
      <w:tr>
        <w:trPr>
          <w:cantSplit/>
        </w:trPr>
        <w:tc>
          <w:tcPr>
            <w:tcW w:type="dxa" w:w="3024"/>
            <w:shd w:fill="F1F5F9" w:val="clear"/>
            <w:vAlign w:val="center"/>
          </w:tcPr>
          <w:p>
            <w:pPr>
              <w:keepNext w:val="0"/>
              <w:spacing w:after="60" w:before="60"/>
            </w:pPr>
            <w:r/>
            <w:r>
              <w:rPr>
                <w:rFonts w:ascii="Segoe UI Light" w:hAnsi="Segoe UI Light"/>
                <w:b/>
                <w:sz w:val="18"/>
              </w:rPr>
              <w:t>Work Life Conflict</w:t>
            </w:r>
          </w:p>
        </w:tc>
        <w:tc>
          <w:tcPr>
            <w:tcW w:type="dxa" w:w="3024"/>
            <w:shd w:fill="F1F5F9" w:val="clear"/>
            <w:vAlign w:val="center"/>
          </w:tcPr>
          <w:p>
            <w:pPr>
              <w:keepNext w:val="0"/>
              <w:spacing w:after="60" w:before="60"/>
            </w:pPr>
            <w:r/>
            <w:r>
              <w:rPr>
                <w:rFonts w:ascii="Segoe UI Light" w:hAnsi="Segoe UI Light"/>
                <w:sz w:val="18"/>
              </w:rPr>
              <w:t>Does interference mainly concern unpredictable schedules, extended hours, contact expectations or work that follows workers home? Which arrangements already help?</w:t>
            </w:r>
          </w:p>
        </w:tc>
        <w:tc>
          <w:tcPr>
            <w:tcW w:type="dxa" w:w="3024"/>
            <w:shd w:fill="F1F5F9" w:val="clear"/>
            <w:vAlign w:val="center"/>
          </w:tcPr>
          <w:p>
            <w:pPr>
              <w:keepNext w:val="0"/>
              <w:spacing w:after="60" w:before="60"/>
            </w:pPr>
            <w:r/>
            <w:r>
              <w:rPr>
                <w:rFonts w:ascii="Segoe UI Light" w:hAnsi="Segoe UI Light"/>
                <w:sz w:val="18"/>
              </w:rPr>
              <w:t>Scheduling and operational leaders could test better notice, clearer availability boundaries or improved coverage. Where workload is the issue, these changes need to be paired with workload decisions.</w:t>
            </w:r>
          </w:p>
        </w:tc>
      </w:tr>
      <w:tr>
        <w:trPr>
          <w:cantSplit/>
        </w:trPr>
        <w:tc>
          <w:tcPr>
            <w:tcW w:type="dxa" w:w="3024"/>
            <w:vAlign w:val="center"/>
          </w:tcPr>
          <w:p>
            <w:pPr>
              <w:keepNext w:val="0"/>
              <w:spacing w:after="60" w:before="60"/>
            </w:pPr>
            <w:r/>
            <w:r>
              <w:rPr>
                <w:rFonts w:ascii="Segoe UI Light" w:hAnsi="Segoe UI Light"/>
                <w:b/>
                <w:sz w:val="18"/>
              </w:rPr>
              <w:t>Meaningful Work</w:t>
            </w:r>
          </w:p>
        </w:tc>
        <w:tc>
          <w:tcPr>
            <w:tcW w:type="dxa" w:w="3024"/>
            <w:vAlign w:val="center"/>
          </w:tcPr>
          <w:p>
            <w:pPr>
              <w:keepNext w:val="0"/>
              <w:spacing w:after="60" w:before="60"/>
            </w:pPr>
            <w:r/>
            <w:r>
              <w:rPr>
                <w:rFonts w:ascii="Segoe UI Light" w:hAnsi="Segoe UI Light"/>
                <w:sz w:val="18"/>
              </w:rPr>
              <w:t>Which tasks feel worthwhile and use workers’ strengths? Would proposed task removal also remove valued work?</w:t>
            </w:r>
          </w:p>
        </w:tc>
        <w:tc>
          <w:tcPr>
            <w:tcW w:type="dxa" w:w="3024"/>
            <w:vAlign w:val="center"/>
          </w:tcPr>
          <w:p>
            <w:pPr>
              <w:keepNext w:val="0"/>
              <w:spacing w:after="60" w:before="60"/>
            </w:pPr>
            <w:r/>
            <w:r>
              <w:rPr>
                <w:rFonts w:ascii="Segoe UI Light" w:hAnsi="Segoe UI Light"/>
                <w:sz w:val="18"/>
              </w:rPr>
              <w:t>Operational leaders could preserve valued tasks when removing unnecessary work and make the purpose of necessary tasks clearer. Improvements should fit within available work time, not add responsibilities without capacity.</w:t>
            </w:r>
          </w:p>
        </w:tc>
      </w:tr>
      <w:tr>
        <w:trPr>
          <w:cantSplit/>
        </w:trPr>
        <w:tc>
          <w:tcPr>
            <w:tcW w:type="dxa" w:w="3024"/>
            <w:shd w:fill="F1F5F9" w:val="clear"/>
            <w:vAlign w:val="center"/>
          </w:tcPr>
          <w:p>
            <w:pPr>
              <w:keepNext w:val="0"/>
              <w:spacing w:after="60" w:before="60"/>
            </w:pPr>
            <w:r/>
            <w:r>
              <w:rPr>
                <w:rFonts w:ascii="Segoe UI Light" w:hAnsi="Segoe UI Light"/>
                <w:b/>
                <w:sz w:val="18"/>
              </w:rPr>
              <w:t>Recognition</w:t>
            </w:r>
          </w:p>
        </w:tc>
        <w:tc>
          <w:tcPr>
            <w:tcW w:type="dxa" w:w="3024"/>
            <w:shd w:fill="F1F5F9" w:val="clear"/>
            <w:vAlign w:val="center"/>
          </w:tcPr>
          <w:p>
            <w:pPr>
              <w:keepNext w:val="0"/>
              <w:spacing w:after="60" w:before="60"/>
            </w:pPr>
            <w:r/>
            <w:r>
              <w:rPr>
                <w:rFonts w:ascii="Segoe UI Light" w:hAnsi="Segoe UI Light"/>
                <w:sz w:val="18"/>
              </w:rPr>
              <w:t>Is the main gap useful feedback, acknowledgement, fair pay or access to progression? What do workers consider fair and credible?</w:t>
            </w:r>
          </w:p>
        </w:tc>
        <w:tc>
          <w:tcPr>
            <w:tcW w:type="dxa" w:w="3024"/>
            <w:shd w:fill="F1F5F9" w:val="clear"/>
            <w:vAlign w:val="center"/>
          </w:tcPr>
          <w:p>
            <w:pPr>
              <w:keepNext w:val="0"/>
              <w:spacing w:after="60" w:before="60"/>
            </w:pPr>
            <w:r/>
            <w:r>
              <w:rPr>
                <w:rFonts w:ascii="Segoe UI Light" w:hAnsi="Segoe UI Light"/>
                <w:sz w:val="18"/>
              </w:rPr>
              <w:t>Managers could improve timely, specific feedback. Leaders with pay and progression authority should examine concerns in those areas rather than treating praise as a substitute.</w:t>
            </w:r>
          </w:p>
        </w:tc>
      </w:tr>
      <w:tr>
        <w:trPr>
          <w:cantSplit/>
        </w:trPr>
        <w:tc>
          <w:tcPr>
            <w:tcW w:type="dxa" w:w="3024"/>
            <w:vAlign w:val="center"/>
          </w:tcPr>
          <w:p>
            <w:pPr>
              <w:keepNext w:val="0"/>
              <w:spacing w:after="60" w:before="60"/>
            </w:pPr>
            <w:r/>
            <w:r>
              <w:rPr>
                <w:rFonts w:ascii="Segoe UI Light" w:hAnsi="Segoe UI Light"/>
                <w:b/>
                <w:sz w:val="18"/>
              </w:rPr>
              <w:t>Emotional Demand</w:t>
            </w:r>
          </w:p>
        </w:tc>
        <w:tc>
          <w:tcPr>
            <w:tcW w:type="dxa" w:w="3024"/>
            <w:vAlign w:val="center"/>
          </w:tcPr>
          <w:p>
            <w:pPr>
              <w:keepNext w:val="0"/>
              <w:spacing w:after="60" w:before="60"/>
            </w:pPr>
            <w:r/>
            <w:r>
              <w:rPr>
                <w:rFonts w:ascii="Segoe UI Light" w:hAnsi="Segoe UI Light"/>
                <w:sz w:val="18"/>
              </w:rPr>
              <w:t>Where do demanding interactions occur, which exposures are avoidable, and can workers obtain help and recovery time when needed?</w:t>
            </w:r>
          </w:p>
        </w:tc>
        <w:tc>
          <w:tcPr>
            <w:tcW w:type="dxa" w:w="3024"/>
            <w:vAlign w:val="center"/>
          </w:tcPr>
          <w:p>
            <w:pPr>
              <w:keepNext w:val="0"/>
              <w:spacing w:after="60" w:before="60"/>
            </w:pPr>
            <w:r/>
            <w:r>
              <w:rPr>
                <w:rFonts w:ascii="Segoe UI Light" w:hAnsi="Segoe UI Light"/>
                <w:sz w:val="18"/>
              </w:rPr>
              <w:t>Operational leaders could review exposure, escalation arrangements and covered recovery time. Any rotation or redistribution should account for the skills, preparation and workload of receiving workers.</w:t>
            </w:r>
          </w:p>
        </w:tc>
      </w:tr>
    </w:tbl>
    <w:p>
      <w:pPr>
        <w:spacing w:after="0"/>
      </w:pPr>
    </w:p>
    <w:p>
      <w:pPr>
        <w:spacing w:after="120"/>
      </w:pPr>
      <w:r>
        <w:rPr>
          <w:rFonts w:ascii="Segoe UI Light" w:hAnsi="Segoe UI Light"/>
          <w:sz w:val="21"/>
        </w:rPr>
        <w:t>For each selected change, leaders should approve an owner, the time and resources required, the work it will displace and a review date. Existing valued supports should be retained unless there is a clear reason to change them.</w:t>
      </w:r>
    </w:p>
    <w:p>
      <w:bookmarkStart w:id="12" w:name="_PWToc12"/>
      <w:pPr>
        <w:pStyle w:val="Heading2"/>
      </w:pPr>
      <w:r>
        <w:rPr>
          <w:rFonts w:ascii="Segoe UI Light" w:hAnsi="Segoe UI Light"/>
          <w:b/>
          <w:color w:val="2D5A8E"/>
          <w:sz w:val="22"/>
        </w:rPr>
        <w:t>4. Review working conditions and outcomes against the local baseline</w:t>
      </w:r>
      <w:bookmarkEnd w:id="12"/>
    </w:p>
    <w:p>
      <w:pPr>
        <w:spacing w:after="120"/>
      </w:pPr>
      <w:r>
        <w:rPr>
          <w:rFonts w:ascii="Segoe UI Light" w:hAnsi="Segoe UI Light"/>
          <w:sz w:val="21"/>
        </w:rPr>
        <w:t>Progress checks should ask both whether the agreed change happened and whether workers’ experiences improved. For example, a new contact rule is not enough if workers still feel expected to respond outside agreed hours.</w:t>
      </w:r>
    </w:p>
    <w:p>
      <w:pPr>
        <w:spacing w:after="120"/>
      </w:pPr>
      <w:r>
        <w:rPr>
          <w:rFonts w:ascii="Segoe UI Light" w:hAnsi="Segoe UI Light"/>
          <w:sz w:val="21"/>
        </w:rPr>
        <w:t>Protective measures may need frequent review. As a planning guide, an early implementation check at around four to six weeks and a repeat pulse at around three months could support longer-term improvements. Timing should be adjusted to the seriousness of the concern and the nature of the change.</w:t>
      </w:r>
    </w:p>
    <w:p>
      <w:pPr>
        <w:spacing w:after="120"/>
      </w:pPr>
      <w:r>
        <w:rPr>
          <w:rFonts w:ascii="Segoe UI Light" w:hAnsi="Segoe UI Light"/>
          <w:sz w:val="21"/>
        </w:rPr>
        <w:t xml:space="preserve">Follow-up should use consistent questions and category definitions, retain the recorded local baseline, and note participation and changes in who responded. Track high </w:t>
      </w:r>
      <w:r>
        <w:rPr>
          <w:rFonts w:ascii="Segoe UI Light" w:hAnsi="Segoe UI Light"/>
          <w:b/>
          <w:sz w:val="21"/>
        </w:rPr>
        <w:t>Burnout</w:t>
      </w:r>
      <w:r>
        <w:rPr>
          <w:rFonts w:ascii="Segoe UI Light" w:hAnsi="Segoe UI Light"/>
          <w:sz w:val="21"/>
        </w:rPr>
        <w:t xml:space="preserve"> and high </w:t>
      </w:r>
      <w:r>
        <w:rPr>
          <w:rFonts w:ascii="Segoe UI Light" w:hAnsi="Segoe UI Light"/>
          <w:b/>
          <w:sz w:val="21"/>
        </w:rPr>
        <w:t>Psych Distress</w:t>
      </w:r>
      <w:r>
        <w:rPr>
          <w:rFonts w:ascii="Segoe UI Light" w:hAnsi="Segoe UI Light"/>
          <w:sz w:val="21"/>
        </w:rPr>
        <w:t xml:space="preserve"> directly, alongside high and low </w:t>
      </w:r>
      <w:r>
        <w:rPr>
          <w:rFonts w:ascii="Segoe UI Light" w:hAnsi="Segoe UI Light"/>
          <w:b/>
          <w:sz w:val="21"/>
        </w:rPr>
        <w:t>Work Engagement</w:t>
      </w:r>
      <w:r>
        <w:rPr>
          <w:rFonts w:ascii="Segoe UI Light" w:hAnsi="Segoe UI Light"/>
          <w:sz w:val="21"/>
        </w:rPr>
        <w:t xml:space="preserve"> and the five working conditions.</w:t>
      </w:r>
    </w:p>
    <w:p>
      <w:pPr>
        <w:spacing w:after="120"/>
      </w:pPr>
      <w:r>
        <w:rPr>
          <w:rFonts w:ascii="Segoe UI Light" w:hAnsi="Segoe UI Light"/>
          <w:sz w:val="21"/>
        </w:rPr>
        <w:t>Leaders should also check for displaced workload, lost support or loss of valued work. Continue, adjust or expand changes using worker feedback and work information together. A better engagement result should not offset worsening exhaustion or distress. Before-and-after differences support review, but do not by themselves establish what caused a change.</w:t>
      </w:r>
    </w:p>
    <w:p>
      <w:pPr>
        <w:sectPr>
          <w:footerReference w:type="default" r:id="rId10"/>
          <w:pgSz w:w="11906" w:h="16838"/>
          <w:pgMar w:top="1417" w:right="1417" w:bottom="1417" w:left="1417" w:header="720" w:footer="720" w:gutter="0"/>
          <w:cols w:space="720"/>
          <w:docGrid w:linePitch="360"/>
        </w:sectPr>
      </w:pPr>
    </w:p>
    <w:p>
      <w:bookmarkStart w:id="13" w:name="_PWToc13"/>
      <w:pPr>
        <w:pStyle w:val="Heading1"/>
      </w:pPr>
      <w:r>
        <w:rPr>
          <w:rFonts w:ascii="Segoe UI Light" w:hAnsi="Segoe UI Light"/>
          <w:b/>
          <w:color w:val="1E3A5F"/>
          <w:sz w:val="28"/>
        </w:rPr>
        <w:t>Appendix – Supporting Material</w:t>
      </w:r>
      <w:bookmarkEnd w:id="13"/>
    </w:p>
    <w:p>
      <w:bookmarkStart w:id="14" w:name="_PWToc14"/>
      <w:pPr>
        <w:pStyle w:val="Heading2"/>
      </w:pPr>
      <w:r>
        <w:rPr>
          <w:rFonts w:ascii="Segoe UI Light" w:hAnsi="Segoe UI Light"/>
          <w:b/>
          <w:color w:val="2D5A8E"/>
          <w:sz w:val="22"/>
        </w:rPr>
        <w:t>A1 – How the Factors Connect</w:t>
      </w:r>
      <w:bookmarkEnd w:id="14"/>
    </w:p>
    <w:p>
      <w:pPr>
        <w:spacing w:after="160"/>
      </w:pPr>
      <w:r>
        <w:rPr>
          <w:rFonts w:ascii="Segoe UI Light" w:hAnsi="Segoe UI Light"/>
          <w:color w:val="64748B"/>
          <w:sz w:val="20"/>
        </w:rPr>
        <w:t>This overview includes every modelled factor and connection. Connections show analytical assumptions, not established causes or relationship strength. Read it alongside the source note below.</w:t>
      </w:r>
    </w:p>
    <w:p>
      <w:pPr>
        <w:keepNext/>
        <w:spacing w:after="80"/>
      </w:pPr>
      <w:r>
        <w:rPr>
          <w:rFonts w:ascii="Segoe UI Light" w:hAnsi="Segoe UI Light"/>
          <w:i/>
          <w:color w:val="334155"/>
          <w:sz w:val="18"/>
        </w:rPr>
        <w:t>Complete model snapshot. Double blue borders identify outcomes; amber borders identify the selected report priorities. All recorded connections are shown. Positions and line widths do not rank importance. Connections show the direction used in the analysis, not proof of causation.</w:t>
      </w:r>
    </w:p>
    <w:p>
      <w:pPr>
        <w:jc w:val="center"/>
      </w:pPr>
      <w:r>
        <w:drawing>
          <wp:inline xmlns:a="http://schemas.openxmlformats.org/drawingml/2006/main" xmlns:pic="http://schemas.openxmlformats.org/drawingml/2006/picture">
            <wp:extent cx="5244309" cy="5760000"/>
            <wp:docPr id="1" name="Picture 1" descr="Role Overload (report priority); Cognitive Demand; Emotional Demand (report priority); Role Ambiguity; Role Conflict; Work Life Conflict (report priority); Job Insecurity; Job Control; Supervisor Support; Coworker Support; Recognition (report priority); Procedural Justice; Change Consultation; Workplace Relationships; Development Growth; Meaningful Work (report priority); Psychological Safety; Work Engagement (outcome); Burnout (outcome); Psych Distress (outcome)"/>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244309" cy="5760000"/>
                    </a:xfrm>
                    <a:prstGeom prst="rect"/>
                  </pic:spPr>
                </pic:pic>
              </a:graphicData>
            </a:graphic>
          </wp:inline>
        </w:drawing>
      </w:r>
    </w:p>
    <w:p>
      <w:bookmarkStart w:id="15" w:name="_PWToc15"/>
      <w:pPr>
        <w:pStyle w:val="Heading2"/>
        <w:pageBreakBefore/>
      </w:pPr>
      <w:r>
        <w:rPr>
          <w:rFonts w:ascii="Segoe UI Light" w:hAnsi="Segoe UI Light"/>
          <w:b/>
          <w:color w:val="2D5A8E"/>
          <w:sz w:val="22"/>
        </w:rPr>
        <w:t>A2 – Starting Model Estimates</w:t>
      </w:r>
      <w:bookmarkEnd w:id="15"/>
    </w:p>
    <w:p>
      <w:pPr>
        <w:spacing w:after="160"/>
      </w:pPr>
      <w:r>
        <w:rPr>
          <w:rFonts w:ascii="Segoe UI Light" w:hAnsi="Segoe UI Light"/>
          <w:color w:val="64748B"/>
          <w:sz w:val="20"/>
        </w:rPr>
        <w:t>Starting probabilities from the report model, before a scenario is applied. These are model estimates, not raw response counts. State labels and any recorded direction are shown for each factor. Not applicable means the factor does not use that state; unavailable means its probability was not supplied.</w:t>
      </w:r>
    </w:p>
    <w:tbl>
      <w:tblPr>
        <w:tblStyle w:val="TableGrid"/>
        <w:tblLayout w:type="fixed"/>
        <w:tblLook w:firstColumn="1" w:firstRow="1" w:lastColumn="0" w:lastRow="0" w:noHBand="0" w:noVBand="1" w:val="04A0"/>
        <w:tblW w:w="5000" w:type="pct"/>
      </w:tblPr>
      <w:tblGrid>
        <w:gridCol w:w="2811"/>
        <w:gridCol w:w="1606"/>
        <w:gridCol w:w="1606"/>
        <w:gridCol w:w="1606"/>
        <w:gridCol w:w="2008"/>
      </w:tblGrid>
      <w:tr>
        <w:trPr>
          <w:tblHeader/>
          <w:cantSplit/>
        </w:trPr>
        <w:tc>
          <w:tcPr>
            <w:tcW w:type="dxa" w:w="2811"/>
            <w:shd w:fill="1E3A5F" w:val="clear"/>
            <w:vAlign w:val="center"/>
          </w:tcPr>
          <w:p>
            <w:pPr>
              <w:keepNext/>
              <w:spacing w:after="60" w:before="60"/>
              <w:jc w:val="left"/>
            </w:pPr>
            <w:r>
              <w:rPr>
                <w:rFonts w:ascii="Segoe UI Light" w:hAnsi="Segoe UI Light"/>
                <w:b/>
                <w:color w:val="FFFFFF"/>
                <w:sz w:val="18"/>
              </w:rPr>
              <w:t>Factor</w:t>
            </w:r>
          </w:p>
        </w:tc>
        <w:tc>
          <w:tcPr>
            <w:tcW w:type="dxa" w:w="1606"/>
            <w:shd w:fill="1E3A5F" w:val="clear"/>
            <w:vAlign w:val="center"/>
          </w:tcPr>
          <w:p>
            <w:pPr>
              <w:keepNext/>
              <w:spacing w:after="60" w:before="60"/>
              <w:jc w:val="left"/>
            </w:pPr>
            <w:r>
              <w:rPr>
                <w:rFonts w:ascii="Segoe UI Light" w:hAnsi="Segoe UI Light"/>
                <w:b/>
                <w:color w:val="FFFFFF"/>
                <w:sz w:val="18"/>
              </w:rPr>
              <w:t>Low (L)</w:t>
            </w:r>
          </w:p>
        </w:tc>
        <w:tc>
          <w:tcPr>
            <w:tcW w:type="dxa" w:w="1606"/>
            <w:shd w:fill="1E3A5F" w:val="clear"/>
            <w:vAlign w:val="center"/>
          </w:tcPr>
          <w:p>
            <w:pPr>
              <w:keepNext/>
              <w:spacing w:after="60" w:before="60"/>
              <w:jc w:val="left"/>
            </w:pPr>
            <w:r>
              <w:rPr>
                <w:rFonts w:ascii="Segoe UI Light" w:hAnsi="Segoe UI Light"/>
                <w:b/>
                <w:color w:val="FFFFFF"/>
                <w:sz w:val="18"/>
              </w:rPr>
              <w:t>Moderate (M)</w:t>
            </w:r>
          </w:p>
        </w:tc>
        <w:tc>
          <w:tcPr>
            <w:tcW w:type="dxa" w:w="1606"/>
            <w:shd w:fill="1E3A5F" w:val="clear"/>
            <w:vAlign w:val="center"/>
          </w:tcPr>
          <w:p>
            <w:pPr>
              <w:keepNext/>
              <w:spacing w:after="60" w:before="60"/>
              <w:jc w:val="left"/>
            </w:pPr>
            <w:r>
              <w:rPr>
                <w:rFonts w:ascii="Segoe UI Light" w:hAnsi="Segoe UI Light"/>
                <w:b/>
                <w:color w:val="FFFFFF"/>
                <w:sz w:val="18"/>
              </w:rPr>
              <w:t>High (H)</w:t>
            </w:r>
          </w:p>
        </w:tc>
        <w:tc>
          <w:tcPr>
            <w:tcW w:type="dxa" w:w="2008"/>
            <w:shd w:fill="1E3A5F" w:val="clear"/>
            <w:vAlign w:val="center"/>
          </w:tcPr>
          <w:p>
            <w:pPr>
              <w:keepNext/>
              <w:spacing w:after="60" w:before="60"/>
              <w:jc w:val="left"/>
            </w:pPr>
            <w:r>
              <w:rPr>
                <w:rFonts w:ascii="Segoe UI Light" w:hAnsi="Segoe UI Light"/>
                <w:b/>
                <w:color w:val="FFFFFF"/>
                <w:sz w:val="18"/>
              </w:rPr>
              <w:t>Recorded direction</w:t>
            </w:r>
          </w:p>
        </w:tc>
      </w:tr>
      <w:tr>
        <w:trPr>
          <w:cantSplit/>
        </w:trPr>
        <w:tc>
          <w:tcPr>
            <w:tcW w:type="dxa" w:w="2811"/>
            <w:vAlign w:val="center"/>
          </w:tcPr>
          <w:p>
            <w:pPr>
              <w:keepNext w:val="0"/>
              <w:spacing w:after="60" w:before="60"/>
              <w:jc w:val="left"/>
            </w:pPr>
            <w:r>
              <w:rPr>
                <w:rFonts w:ascii="Segoe UI Light" w:hAnsi="Segoe UI Light"/>
                <w:b w:val="0"/>
                <w:sz w:val="18"/>
              </w:rPr>
              <w:t>Burnout</w:t>
            </w:r>
          </w:p>
        </w:tc>
        <w:tc>
          <w:tcPr>
            <w:tcW w:type="dxa" w:w="1606"/>
            <w:vAlign w:val="center"/>
          </w:tcPr>
          <w:p>
            <w:pPr>
              <w:keepNext w:val="0"/>
              <w:spacing w:after="60" w:before="60"/>
              <w:jc w:val="center"/>
            </w:pPr>
            <w:r>
              <w:rPr>
                <w:rFonts w:ascii="Segoe UI Light" w:hAnsi="Segoe UI Light"/>
                <w:b w:val="0"/>
                <w:sz w:val="18"/>
              </w:rPr>
              <w:t>33.3%</w:t>
            </w:r>
          </w:p>
        </w:tc>
        <w:tc>
          <w:tcPr>
            <w:tcW w:type="dxa" w:w="1606"/>
            <w:vAlign w:val="center"/>
          </w:tcPr>
          <w:p>
            <w:pPr>
              <w:keepNext w:val="0"/>
              <w:spacing w:after="60" w:before="60"/>
              <w:jc w:val="center"/>
            </w:pPr>
            <w:r>
              <w:rPr>
                <w:rFonts w:ascii="Segoe UI Light" w:hAnsi="Segoe UI Light"/>
                <w:b w:val="0"/>
                <w:sz w:val="18"/>
              </w:rPr>
              <w:t>41.1%</w:t>
            </w:r>
          </w:p>
        </w:tc>
        <w:tc>
          <w:tcPr>
            <w:tcW w:type="dxa" w:w="1606"/>
            <w:vAlign w:val="center"/>
          </w:tcPr>
          <w:p>
            <w:pPr>
              <w:keepNext w:val="0"/>
              <w:spacing w:after="60" w:before="60"/>
              <w:jc w:val="center"/>
            </w:pPr>
            <w:r>
              <w:rPr>
                <w:rFonts w:ascii="Segoe UI Light" w:hAnsi="Segoe UI Light"/>
                <w:b w:val="0"/>
                <w:sz w:val="18"/>
              </w:rPr>
              <w:t>25.5%</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Change Consultation</w:t>
            </w:r>
          </w:p>
        </w:tc>
        <w:tc>
          <w:tcPr>
            <w:tcW w:type="dxa" w:w="1606"/>
            <w:shd w:fill="F1F5F9" w:val="clear"/>
            <w:vAlign w:val="center"/>
          </w:tcPr>
          <w:p>
            <w:pPr>
              <w:keepNext w:val="0"/>
              <w:spacing w:after="60" w:before="60"/>
              <w:jc w:val="center"/>
            </w:pPr>
            <w:r>
              <w:rPr>
                <w:rFonts w:ascii="Segoe UI Light" w:hAnsi="Segoe UI Light"/>
                <w:b w:val="0"/>
                <w:sz w:val="18"/>
              </w:rPr>
              <w:t>28.4%</w:t>
            </w:r>
          </w:p>
        </w:tc>
        <w:tc>
          <w:tcPr>
            <w:tcW w:type="dxa" w:w="1606"/>
            <w:shd w:fill="F1F5F9" w:val="clear"/>
            <w:vAlign w:val="center"/>
          </w:tcPr>
          <w:p>
            <w:pPr>
              <w:keepNext w:val="0"/>
              <w:spacing w:after="60" w:before="60"/>
              <w:jc w:val="center"/>
            </w:pPr>
            <w:r>
              <w:rPr>
                <w:rFonts w:ascii="Segoe UI Light" w:hAnsi="Segoe UI Light"/>
                <w:b w:val="0"/>
                <w:sz w:val="18"/>
              </w:rPr>
              <w:t>43.7%</w:t>
            </w:r>
          </w:p>
        </w:tc>
        <w:tc>
          <w:tcPr>
            <w:tcW w:type="dxa" w:w="1606"/>
            <w:shd w:fill="F1F5F9" w:val="clear"/>
            <w:vAlign w:val="center"/>
          </w:tcPr>
          <w:p>
            <w:pPr>
              <w:keepNext w:val="0"/>
              <w:spacing w:after="60" w:before="60"/>
              <w:jc w:val="center"/>
            </w:pPr>
            <w:r>
              <w:rPr>
                <w:rFonts w:ascii="Segoe UI Light" w:hAnsi="Segoe UI Light"/>
                <w:b w:val="0"/>
                <w:sz w:val="18"/>
              </w:rPr>
              <w:t>27.9%</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Cognitive Demand</w:t>
            </w:r>
          </w:p>
        </w:tc>
        <w:tc>
          <w:tcPr>
            <w:tcW w:type="dxa" w:w="1606"/>
            <w:vAlign w:val="center"/>
          </w:tcPr>
          <w:p>
            <w:pPr>
              <w:keepNext w:val="0"/>
              <w:spacing w:after="60" w:before="60"/>
              <w:jc w:val="center"/>
            </w:pPr>
            <w:r>
              <w:rPr>
                <w:rFonts w:ascii="Segoe UI Light" w:hAnsi="Segoe UI Light"/>
                <w:b w:val="0"/>
                <w:sz w:val="18"/>
              </w:rPr>
              <w:t>12.5%</w:t>
            </w:r>
          </w:p>
        </w:tc>
        <w:tc>
          <w:tcPr>
            <w:tcW w:type="dxa" w:w="1606"/>
            <w:vAlign w:val="center"/>
          </w:tcPr>
          <w:p>
            <w:pPr>
              <w:keepNext w:val="0"/>
              <w:spacing w:after="60" w:before="60"/>
              <w:jc w:val="center"/>
            </w:pPr>
            <w:r>
              <w:rPr>
                <w:rFonts w:ascii="Segoe UI Light" w:hAnsi="Segoe UI Light"/>
                <w:b w:val="0"/>
                <w:sz w:val="18"/>
              </w:rPr>
              <w:t>45.2%</w:t>
            </w:r>
          </w:p>
        </w:tc>
        <w:tc>
          <w:tcPr>
            <w:tcW w:type="dxa" w:w="1606"/>
            <w:vAlign w:val="center"/>
          </w:tcPr>
          <w:p>
            <w:pPr>
              <w:keepNext w:val="0"/>
              <w:spacing w:after="60" w:before="60"/>
              <w:jc w:val="center"/>
            </w:pPr>
            <w:r>
              <w:rPr>
                <w:rFonts w:ascii="Segoe UI Light" w:hAnsi="Segoe UI Light"/>
                <w:b w:val="0"/>
                <w:sz w:val="18"/>
              </w:rPr>
              <w:t>42.3%</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Coworker Support</w:t>
            </w:r>
          </w:p>
        </w:tc>
        <w:tc>
          <w:tcPr>
            <w:tcW w:type="dxa" w:w="1606"/>
            <w:shd w:fill="F1F5F9" w:val="clear"/>
            <w:vAlign w:val="center"/>
          </w:tcPr>
          <w:p>
            <w:pPr>
              <w:keepNext w:val="0"/>
              <w:spacing w:after="60" w:before="60"/>
              <w:jc w:val="center"/>
            </w:pPr>
            <w:r>
              <w:rPr>
                <w:rFonts w:ascii="Segoe UI Light" w:hAnsi="Segoe UI Light"/>
                <w:b w:val="0"/>
                <w:sz w:val="18"/>
              </w:rPr>
              <w:t>15.7%</w:t>
            </w:r>
          </w:p>
        </w:tc>
        <w:tc>
          <w:tcPr>
            <w:tcW w:type="dxa" w:w="1606"/>
            <w:shd w:fill="F1F5F9" w:val="clear"/>
            <w:vAlign w:val="center"/>
          </w:tcPr>
          <w:p>
            <w:pPr>
              <w:keepNext w:val="0"/>
              <w:spacing w:after="60" w:before="60"/>
              <w:jc w:val="center"/>
            </w:pPr>
            <w:r>
              <w:rPr>
                <w:rFonts w:ascii="Segoe UI Light" w:hAnsi="Segoe UI Light"/>
                <w:b w:val="0"/>
                <w:sz w:val="18"/>
              </w:rPr>
              <w:t>42.0%</w:t>
            </w:r>
          </w:p>
        </w:tc>
        <w:tc>
          <w:tcPr>
            <w:tcW w:type="dxa" w:w="1606"/>
            <w:shd w:fill="F1F5F9" w:val="clear"/>
            <w:vAlign w:val="center"/>
          </w:tcPr>
          <w:p>
            <w:pPr>
              <w:keepNext w:val="0"/>
              <w:spacing w:after="60" w:before="60"/>
              <w:jc w:val="center"/>
            </w:pPr>
            <w:r>
              <w:rPr>
                <w:rFonts w:ascii="Segoe UI Light" w:hAnsi="Segoe UI Light"/>
                <w:b w:val="0"/>
                <w:sz w:val="18"/>
              </w:rPr>
              <w:t>42.2%</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Development Growth</w:t>
            </w:r>
          </w:p>
        </w:tc>
        <w:tc>
          <w:tcPr>
            <w:tcW w:type="dxa" w:w="1606"/>
            <w:vAlign w:val="center"/>
          </w:tcPr>
          <w:p>
            <w:pPr>
              <w:keepNext w:val="0"/>
              <w:spacing w:after="60" w:before="60"/>
              <w:jc w:val="center"/>
            </w:pPr>
            <w:r>
              <w:rPr>
                <w:rFonts w:ascii="Segoe UI Light" w:hAnsi="Segoe UI Light"/>
                <w:b w:val="0"/>
                <w:sz w:val="18"/>
              </w:rPr>
              <w:t>14.1%</w:t>
            </w:r>
          </w:p>
        </w:tc>
        <w:tc>
          <w:tcPr>
            <w:tcW w:type="dxa" w:w="1606"/>
            <w:vAlign w:val="center"/>
          </w:tcPr>
          <w:p>
            <w:pPr>
              <w:keepNext w:val="0"/>
              <w:spacing w:after="60" w:before="60"/>
              <w:jc w:val="center"/>
            </w:pPr>
            <w:r>
              <w:rPr>
                <w:rFonts w:ascii="Segoe UI Light" w:hAnsi="Segoe UI Light"/>
                <w:b w:val="0"/>
                <w:sz w:val="18"/>
              </w:rPr>
              <w:t>37.8%</w:t>
            </w:r>
          </w:p>
        </w:tc>
        <w:tc>
          <w:tcPr>
            <w:tcW w:type="dxa" w:w="1606"/>
            <w:vAlign w:val="center"/>
          </w:tcPr>
          <w:p>
            <w:pPr>
              <w:keepNext w:val="0"/>
              <w:spacing w:after="60" w:before="60"/>
              <w:jc w:val="center"/>
            </w:pPr>
            <w:r>
              <w:rPr>
                <w:rFonts w:ascii="Segoe UI Light" w:hAnsi="Segoe UI Light"/>
                <w:b w:val="0"/>
                <w:sz w:val="18"/>
              </w:rPr>
              <w:t>48.1%</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Emotional Demand</w:t>
            </w:r>
          </w:p>
        </w:tc>
        <w:tc>
          <w:tcPr>
            <w:tcW w:type="dxa" w:w="1606"/>
            <w:shd w:fill="F1F5F9" w:val="clear"/>
            <w:vAlign w:val="center"/>
          </w:tcPr>
          <w:p>
            <w:pPr>
              <w:keepNext w:val="0"/>
              <w:spacing w:after="60" w:before="60"/>
              <w:jc w:val="center"/>
            </w:pPr>
            <w:r>
              <w:rPr>
                <w:rFonts w:ascii="Segoe UI Light" w:hAnsi="Segoe UI Light"/>
                <w:b w:val="0"/>
                <w:sz w:val="18"/>
              </w:rPr>
              <w:t>45.3%</w:t>
            </w:r>
          </w:p>
        </w:tc>
        <w:tc>
          <w:tcPr>
            <w:tcW w:type="dxa" w:w="1606"/>
            <w:shd w:fill="F1F5F9" w:val="clear"/>
            <w:vAlign w:val="center"/>
          </w:tcPr>
          <w:p>
            <w:pPr>
              <w:keepNext w:val="0"/>
              <w:spacing w:after="60" w:before="60"/>
              <w:jc w:val="center"/>
            </w:pPr>
            <w:r>
              <w:rPr>
                <w:rFonts w:ascii="Segoe UI Light" w:hAnsi="Segoe UI Light"/>
                <w:b w:val="0"/>
                <w:sz w:val="18"/>
              </w:rPr>
              <w:t>33.1%</w:t>
            </w:r>
          </w:p>
        </w:tc>
        <w:tc>
          <w:tcPr>
            <w:tcW w:type="dxa" w:w="1606"/>
            <w:shd w:fill="F1F5F9" w:val="clear"/>
            <w:vAlign w:val="center"/>
          </w:tcPr>
          <w:p>
            <w:pPr>
              <w:keepNext w:val="0"/>
              <w:spacing w:after="60" w:before="60"/>
              <w:jc w:val="center"/>
            </w:pPr>
            <w:r>
              <w:rPr>
                <w:rFonts w:ascii="Segoe UI Light" w:hAnsi="Segoe UI Light"/>
                <w:b w:val="0"/>
                <w:sz w:val="18"/>
              </w:rPr>
              <w:t>21.6%</w:t>
            </w:r>
          </w:p>
        </w:tc>
        <w:tc>
          <w:tcPr>
            <w:tcW w:type="dxa" w:w="2008"/>
            <w:shd w:fill="F1F5F9" w:val="clear"/>
            <w:vAlign w:val="center"/>
          </w:tcPr>
          <w:p>
            <w:pPr>
              <w:keepNext w:val="0"/>
              <w:spacing w:after="60" w:before="60"/>
              <w:jc w:val="left"/>
            </w:pPr>
            <w:r>
              <w:rPr>
                <w:rFonts w:ascii="Segoe UI Light" w:hAnsi="Segoe UI Light"/>
                <w:b w:val="0"/>
                <w:sz w:val="18"/>
              </w:rPr>
              <w:t>Lower is favourable</w:t>
            </w:r>
          </w:p>
        </w:tc>
      </w:tr>
      <w:tr>
        <w:trPr>
          <w:cantSplit/>
        </w:trPr>
        <w:tc>
          <w:tcPr>
            <w:tcW w:type="dxa" w:w="2811"/>
            <w:vAlign w:val="center"/>
          </w:tcPr>
          <w:p>
            <w:pPr>
              <w:keepNext w:val="0"/>
              <w:spacing w:after="60" w:before="60"/>
              <w:jc w:val="left"/>
            </w:pPr>
            <w:r>
              <w:rPr>
                <w:rFonts w:ascii="Segoe UI Light" w:hAnsi="Segoe UI Light"/>
                <w:b w:val="0"/>
                <w:sz w:val="18"/>
              </w:rPr>
              <w:t>Job Control</w:t>
            </w:r>
          </w:p>
        </w:tc>
        <w:tc>
          <w:tcPr>
            <w:tcW w:type="dxa" w:w="1606"/>
            <w:vAlign w:val="center"/>
          </w:tcPr>
          <w:p>
            <w:pPr>
              <w:keepNext w:val="0"/>
              <w:spacing w:after="60" w:before="60"/>
              <w:jc w:val="center"/>
            </w:pPr>
            <w:r>
              <w:rPr>
                <w:rFonts w:ascii="Segoe UI Light" w:hAnsi="Segoe UI Light"/>
                <w:b w:val="0"/>
                <w:sz w:val="18"/>
              </w:rPr>
              <w:t>24.3%</w:t>
            </w:r>
          </w:p>
        </w:tc>
        <w:tc>
          <w:tcPr>
            <w:tcW w:type="dxa" w:w="1606"/>
            <w:vAlign w:val="center"/>
          </w:tcPr>
          <w:p>
            <w:pPr>
              <w:keepNext w:val="0"/>
              <w:spacing w:after="60" w:before="60"/>
              <w:jc w:val="center"/>
            </w:pPr>
            <w:r>
              <w:rPr>
                <w:rFonts w:ascii="Segoe UI Light" w:hAnsi="Segoe UI Light"/>
                <w:b w:val="0"/>
                <w:sz w:val="18"/>
              </w:rPr>
              <w:t>48.0%</w:t>
            </w:r>
          </w:p>
        </w:tc>
        <w:tc>
          <w:tcPr>
            <w:tcW w:type="dxa" w:w="1606"/>
            <w:vAlign w:val="center"/>
          </w:tcPr>
          <w:p>
            <w:pPr>
              <w:keepNext w:val="0"/>
              <w:spacing w:after="60" w:before="60"/>
              <w:jc w:val="center"/>
            </w:pPr>
            <w:r>
              <w:rPr>
                <w:rFonts w:ascii="Segoe UI Light" w:hAnsi="Segoe UI Light"/>
                <w:b w:val="0"/>
                <w:sz w:val="18"/>
              </w:rPr>
              <w:t>27.7%</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Job Insecurity</w:t>
            </w:r>
          </w:p>
        </w:tc>
        <w:tc>
          <w:tcPr>
            <w:tcW w:type="dxa" w:w="1606"/>
            <w:shd w:fill="F1F5F9" w:val="clear"/>
            <w:vAlign w:val="center"/>
          </w:tcPr>
          <w:p>
            <w:pPr>
              <w:keepNext w:val="0"/>
              <w:spacing w:after="60" w:before="60"/>
              <w:jc w:val="center"/>
            </w:pPr>
            <w:r>
              <w:rPr>
                <w:rFonts w:ascii="Segoe UI Light" w:hAnsi="Segoe UI Light"/>
                <w:b w:val="0"/>
                <w:sz w:val="18"/>
              </w:rPr>
              <w:t>55.8%</w:t>
            </w:r>
          </w:p>
        </w:tc>
        <w:tc>
          <w:tcPr>
            <w:tcW w:type="dxa" w:w="1606"/>
            <w:shd w:fill="F1F5F9" w:val="clear"/>
            <w:vAlign w:val="center"/>
          </w:tcPr>
          <w:p>
            <w:pPr>
              <w:keepNext w:val="0"/>
              <w:spacing w:after="60" w:before="60"/>
              <w:jc w:val="center"/>
            </w:pPr>
            <w:r>
              <w:rPr>
                <w:rFonts w:ascii="Segoe UI Light" w:hAnsi="Segoe UI Light"/>
                <w:b w:val="0"/>
                <w:sz w:val="18"/>
              </w:rPr>
              <w:t>28.9%</w:t>
            </w:r>
          </w:p>
        </w:tc>
        <w:tc>
          <w:tcPr>
            <w:tcW w:type="dxa" w:w="1606"/>
            <w:shd w:fill="F1F5F9" w:val="clear"/>
            <w:vAlign w:val="center"/>
          </w:tcPr>
          <w:p>
            <w:pPr>
              <w:keepNext w:val="0"/>
              <w:spacing w:after="60" w:before="60"/>
              <w:jc w:val="center"/>
            </w:pPr>
            <w:r>
              <w:rPr>
                <w:rFonts w:ascii="Segoe UI Light" w:hAnsi="Segoe UI Light"/>
                <w:b w:val="0"/>
                <w:sz w:val="18"/>
              </w:rPr>
              <w:t>15.4%</w:t>
            </w:r>
          </w:p>
        </w:tc>
        <w:tc>
          <w:tcPr>
            <w:tcW w:type="dxa" w:w="2008"/>
            <w:shd w:fill="F1F5F9" w:val="clear"/>
            <w:vAlign w:val="center"/>
          </w:tcPr>
          <w:p>
            <w:pPr>
              <w:keepNext w:val="0"/>
              <w:spacing w:after="60" w:before="60"/>
              <w:jc w:val="left"/>
            </w:pPr>
            <w:r>
              <w:rPr>
                <w:rFonts w:ascii="Segoe UI Light" w:hAnsi="Segoe UI Light"/>
                <w:b w:val="0"/>
                <w:sz w:val="18"/>
              </w:rPr>
              <w:t>Lower is favourable</w:t>
            </w:r>
          </w:p>
        </w:tc>
      </w:tr>
      <w:tr>
        <w:trPr>
          <w:cantSplit/>
        </w:trPr>
        <w:tc>
          <w:tcPr>
            <w:tcW w:type="dxa" w:w="2811"/>
            <w:vAlign w:val="center"/>
          </w:tcPr>
          <w:p>
            <w:pPr>
              <w:keepNext w:val="0"/>
              <w:spacing w:after="60" w:before="60"/>
              <w:jc w:val="left"/>
            </w:pPr>
            <w:r>
              <w:rPr>
                <w:rFonts w:ascii="Segoe UI Light" w:hAnsi="Segoe UI Light"/>
                <w:b w:val="0"/>
                <w:sz w:val="18"/>
              </w:rPr>
              <w:t>Meaningful Work</w:t>
            </w:r>
          </w:p>
        </w:tc>
        <w:tc>
          <w:tcPr>
            <w:tcW w:type="dxa" w:w="1606"/>
            <w:vAlign w:val="center"/>
          </w:tcPr>
          <w:p>
            <w:pPr>
              <w:keepNext w:val="0"/>
              <w:spacing w:after="60" w:before="60"/>
              <w:jc w:val="center"/>
            </w:pPr>
            <w:r>
              <w:rPr>
                <w:rFonts w:ascii="Segoe UI Light" w:hAnsi="Segoe UI Light"/>
                <w:b w:val="0"/>
                <w:sz w:val="18"/>
              </w:rPr>
              <w:t>14.5%</w:t>
            </w:r>
          </w:p>
        </w:tc>
        <w:tc>
          <w:tcPr>
            <w:tcW w:type="dxa" w:w="1606"/>
            <w:vAlign w:val="center"/>
          </w:tcPr>
          <w:p>
            <w:pPr>
              <w:keepNext w:val="0"/>
              <w:spacing w:after="60" w:before="60"/>
              <w:jc w:val="center"/>
            </w:pPr>
            <w:r>
              <w:rPr>
                <w:rFonts w:ascii="Segoe UI Light" w:hAnsi="Segoe UI Light"/>
                <w:b w:val="0"/>
                <w:sz w:val="18"/>
              </w:rPr>
              <w:t>30.6%</w:t>
            </w:r>
          </w:p>
        </w:tc>
        <w:tc>
          <w:tcPr>
            <w:tcW w:type="dxa" w:w="1606"/>
            <w:vAlign w:val="center"/>
          </w:tcPr>
          <w:p>
            <w:pPr>
              <w:keepNext w:val="0"/>
              <w:spacing w:after="60" w:before="60"/>
              <w:jc w:val="center"/>
            </w:pPr>
            <w:r>
              <w:rPr>
                <w:rFonts w:ascii="Segoe UI Light" w:hAnsi="Segoe UI Light"/>
                <w:b w:val="0"/>
                <w:sz w:val="18"/>
              </w:rPr>
              <w:t>54.9%</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Procedural Justice</w:t>
            </w:r>
          </w:p>
        </w:tc>
        <w:tc>
          <w:tcPr>
            <w:tcW w:type="dxa" w:w="1606"/>
            <w:shd w:fill="F1F5F9" w:val="clear"/>
            <w:vAlign w:val="center"/>
          </w:tcPr>
          <w:p>
            <w:pPr>
              <w:keepNext w:val="0"/>
              <w:spacing w:after="60" w:before="60"/>
              <w:jc w:val="center"/>
            </w:pPr>
            <w:r>
              <w:rPr>
                <w:rFonts w:ascii="Segoe UI Light" w:hAnsi="Segoe UI Light"/>
                <w:b w:val="0"/>
                <w:sz w:val="18"/>
              </w:rPr>
              <w:t>17.0%</w:t>
            </w:r>
          </w:p>
        </w:tc>
        <w:tc>
          <w:tcPr>
            <w:tcW w:type="dxa" w:w="1606"/>
            <w:shd w:fill="F1F5F9" w:val="clear"/>
            <w:vAlign w:val="center"/>
          </w:tcPr>
          <w:p>
            <w:pPr>
              <w:keepNext w:val="0"/>
              <w:spacing w:after="60" w:before="60"/>
              <w:jc w:val="center"/>
            </w:pPr>
            <w:r>
              <w:rPr>
                <w:rFonts w:ascii="Segoe UI Light" w:hAnsi="Segoe UI Light"/>
                <w:b w:val="0"/>
                <w:sz w:val="18"/>
              </w:rPr>
              <w:t>39.5%</w:t>
            </w:r>
          </w:p>
        </w:tc>
        <w:tc>
          <w:tcPr>
            <w:tcW w:type="dxa" w:w="1606"/>
            <w:shd w:fill="F1F5F9" w:val="clear"/>
            <w:vAlign w:val="center"/>
          </w:tcPr>
          <w:p>
            <w:pPr>
              <w:keepNext w:val="0"/>
              <w:spacing w:after="60" w:before="60"/>
              <w:jc w:val="center"/>
            </w:pPr>
            <w:r>
              <w:rPr>
                <w:rFonts w:ascii="Segoe UI Light" w:hAnsi="Segoe UI Light"/>
                <w:b w:val="0"/>
                <w:sz w:val="18"/>
              </w:rPr>
              <w:t>43.5%</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Psych Distress</w:t>
            </w:r>
          </w:p>
        </w:tc>
        <w:tc>
          <w:tcPr>
            <w:tcW w:type="dxa" w:w="1606"/>
            <w:vAlign w:val="center"/>
          </w:tcPr>
          <w:p>
            <w:pPr>
              <w:keepNext w:val="0"/>
              <w:spacing w:after="60" w:before="60"/>
              <w:jc w:val="center"/>
            </w:pPr>
            <w:r>
              <w:rPr>
                <w:rFonts w:ascii="Segoe UI Light" w:hAnsi="Segoe UI Light"/>
                <w:b w:val="0"/>
                <w:sz w:val="18"/>
              </w:rPr>
              <w:t>45.4%</w:t>
            </w:r>
          </w:p>
        </w:tc>
        <w:tc>
          <w:tcPr>
            <w:tcW w:type="dxa" w:w="1606"/>
            <w:vAlign w:val="center"/>
          </w:tcPr>
          <w:p>
            <w:pPr>
              <w:keepNext w:val="0"/>
              <w:spacing w:after="60" w:before="60"/>
              <w:jc w:val="center"/>
            </w:pPr>
            <w:r>
              <w:rPr>
                <w:rFonts w:ascii="Segoe UI Light" w:hAnsi="Segoe UI Light"/>
                <w:b w:val="0"/>
                <w:sz w:val="18"/>
              </w:rPr>
              <w:t>36.2%</w:t>
            </w:r>
          </w:p>
        </w:tc>
        <w:tc>
          <w:tcPr>
            <w:tcW w:type="dxa" w:w="1606"/>
            <w:vAlign w:val="center"/>
          </w:tcPr>
          <w:p>
            <w:pPr>
              <w:keepNext w:val="0"/>
              <w:spacing w:after="60" w:before="60"/>
              <w:jc w:val="center"/>
            </w:pPr>
            <w:r>
              <w:rPr>
                <w:rFonts w:ascii="Segoe UI Light" w:hAnsi="Segoe UI Light"/>
                <w:b w:val="0"/>
                <w:sz w:val="18"/>
              </w:rPr>
              <w:t>18.4%</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Psychological Safety</w:t>
            </w:r>
          </w:p>
        </w:tc>
        <w:tc>
          <w:tcPr>
            <w:tcW w:type="dxa" w:w="1606"/>
            <w:shd w:fill="F1F5F9" w:val="clear"/>
            <w:vAlign w:val="center"/>
          </w:tcPr>
          <w:p>
            <w:pPr>
              <w:keepNext w:val="0"/>
              <w:spacing w:after="60" w:before="60"/>
              <w:jc w:val="center"/>
            </w:pPr>
            <w:r>
              <w:rPr>
                <w:rFonts w:ascii="Segoe UI Light" w:hAnsi="Segoe UI Light"/>
                <w:b w:val="0"/>
                <w:sz w:val="18"/>
              </w:rPr>
              <w:t>11.5%</w:t>
            </w:r>
          </w:p>
        </w:tc>
        <w:tc>
          <w:tcPr>
            <w:tcW w:type="dxa" w:w="1606"/>
            <w:shd w:fill="F1F5F9" w:val="clear"/>
            <w:vAlign w:val="center"/>
          </w:tcPr>
          <w:p>
            <w:pPr>
              <w:keepNext w:val="0"/>
              <w:spacing w:after="60" w:before="60"/>
              <w:jc w:val="center"/>
            </w:pPr>
            <w:r>
              <w:rPr>
                <w:rFonts w:ascii="Segoe UI Light" w:hAnsi="Segoe UI Light"/>
                <w:b w:val="0"/>
                <w:sz w:val="18"/>
              </w:rPr>
              <w:t>38.6%</w:t>
            </w:r>
          </w:p>
        </w:tc>
        <w:tc>
          <w:tcPr>
            <w:tcW w:type="dxa" w:w="1606"/>
            <w:shd w:fill="F1F5F9" w:val="clear"/>
            <w:vAlign w:val="center"/>
          </w:tcPr>
          <w:p>
            <w:pPr>
              <w:keepNext w:val="0"/>
              <w:spacing w:after="60" w:before="60"/>
              <w:jc w:val="center"/>
            </w:pPr>
            <w:r>
              <w:rPr>
                <w:rFonts w:ascii="Segoe UI Light" w:hAnsi="Segoe UI Light"/>
                <w:b w:val="0"/>
                <w:sz w:val="18"/>
              </w:rPr>
              <w:t>49.9%</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Recognition</w:t>
            </w:r>
          </w:p>
        </w:tc>
        <w:tc>
          <w:tcPr>
            <w:tcW w:type="dxa" w:w="1606"/>
            <w:vAlign w:val="center"/>
          </w:tcPr>
          <w:p>
            <w:pPr>
              <w:keepNext w:val="0"/>
              <w:spacing w:after="60" w:before="60"/>
              <w:jc w:val="center"/>
            </w:pPr>
            <w:r>
              <w:rPr>
                <w:rFonts w:ascii="Segoe UI Light" w:hAnsi="Segoe UI Light"/>
                <w:b w:val="0"/>
                <w:sz w:val="18"/>
              </w:rPr>
              <w:t>16.8%</w:t>
            </w:r>
          </w:p>
        </w:tc>
        <w:tc>
          <w:tcPr>
            <w:tcW w:type="dxa" w:w="1606"/>
            <w:vAlign w:val="center"/>
          </w:tcPr>
          <w:p>
            <w:pPr>
              <w:keepNext w:val="0"/>
              <w:spacing w:after="60" w:before="60"/>
              <w:jc w:val="center"/>
            </w:pPr>
            <w:r>
              <w:rPr>
                <w:rFonts w:ascii="Segoe UI Light" w:hAnsi="Segoe UI Light"/>
                <w:b w:val="0"/>
                <w:sz w:val="18"/>
              </w:rPr>
              <w:t>33.3%</w:t>
            </w:r>
          </w:p>
        </w:tc>
        <w:tc>
          <w:tcPr>
            <w:tcW w:type="dxa" w:w="1606"/>
            <w:vAlign w:val="center"/>
          </w:tcPr>
          <w:p>
            <w:pPr>
              <w:keepNext w:val="0"/>
              <w:spacing w:after="60" w:before="60"/>
              <w:jc w:val="center"/>
            </w:pPr>
            <w:r>
              <w:rPr>
                <w:rFonts w:ascii="Segoe UI Light" w:hAnsi="Segoe UI Light"/>
                <w:b w:val="0"/>
                <w:sz w:val="18"/>
              </w:rPr>
              <w:t>49.9%</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Role Ambiguity</w:t>
            </w:r>
          </w:p>
        </w:tc>
        <w:tc>
          <w:tcPr>
            <w:tcW w:type="dxa" w:w="1606"/>
            <w:shd w:fill="F1F5F9" w:val="clear"/>
            <w:vAlign w:val="center"/>
          </w:tcPr>
          <w:p>
            <w:pPr>
              <w:keepNext w:val="0"/>
              <w:spacing w:after="60" w:before="60"/>
              <w:jc w:val="center"/>
            </w:pPr>
            <w:r>
              <w:rPr>
                <w:rFonts w:ascii="Segoe UI Light" w:hAnsi="Segoe UI Light"/>
                <w:b w:val="0"/>
                <w:sz w:val="18"/>
              </w:rPr>
              <w:t>66.0%</w:t>
            </w:r>
          </w:p>
        </w:tc>
        <w:tc>
          <w:tcPr>
            <w:tcW w:type="dxa" w:w="1606"/>
            <w:shd w:fill="F1F5F9" w:val="clear"/>
            <w:vAlign w:val="center"/>
          </w:tcPr>
          <w:p>
            <w:pPr>
              <w:keepNext w:val="0"/>
              <w:spacing w:after="60" w:before="60"/>
              <w:jc w:val="center"/>
            </w:pPr>
            <w:r>
              <w:rPr>
                <w:rFonts w:ascii="Segoe UI Light" w:hAnsi="Segoe UI Light"/>
                <w:b w:val="0"/>
                <w:sz w:val="18"/>
              </w:rPr>
              <w:t>28.7%</w:t>
            </w:r>
          </w:p>
        </w:tc>
        <w:tc>
          <w:tcPr>
            <w:tcW w:type="dxa" w:w="1606"/>
            <w:shd w:fill="F1F5F9" w:val="clear"/>
            <w:vAlign w:val="center"/>
          </w:tcPr>
          <w:p>
            <w:pPr>
              <w:keepNext w:val="0"/>
              <w:spacing w:after="60" w:before="60"/>
              <w:jc w:val="center"/>
            </w:pPr>
            <w:r>
              <w:rPr>
                <w:rFonts w:ascii="Segoe UI Light" w:hAnsi="Segoe UI Light"/>
                <w:b w:val="0"/>
                <w:sz w:val="18"/>
              </w:rPr>
              <w:t>5.3%</w:t>
            </w:r>
          </w:p>
        </w:tc>
        <w:tc>
          <w:tcPr>
            <w:tcW w:type="dxa" w:w="2008"/>
            <w:shd w:fill="F1F5F9" w:val="clear"/>
            <w:vAlign w:val="center"/>
          </w:tcPr>
          <w:p>
            <w:pPr>
              <w:keepNext w:val="0"/>
              <w:spacing w:after="60" w:before="60"/>
              <w:jc w:val="left"/>
            </w:pPr>
            <w:r>
              <w:rPr>
                <w:rFonts w:ascii="Segoe UI Light" w:hAnsi="Segoe UI Light"/>
                <w:b w:val="0"/>
                <w:sz w:val="18"/>
              </w:rPr>
              <w:t>Lower is favourable</w:t>
            </w:r>
          </w:p>
        </w:tc>
      </w:tr>
      <w:tr>
        <w:trPr>
          <w:cantSplit/>
        </w:trPr>
        <w:tc>
          <w:tcPr>
            <w:tcW w:type="dxa" w:w="2811"/>
            <w:vAlign w:val="center"/>
          </w:tcPr>
          <w:p>
            <w:pPr>
              <w:keepNext w:val="0"/>
              <w:spacing w:after="60" w:before="60"/>
              <w:jc w:val="left"/>
            </w:pPr>
            <w:r>
              <w:rPr>
                <w:rFonts w:ascii="Segoe UI Light" w:hAnsi="Segoe UI Light"/>
                <w:b w:val="0"/>
                <w:sz w:val="18"/>
              </w:rPr>
              <w:t>Role Conflict</w:t>
            </w:r>
          </w:p>
        </w:tc>
        <w:tc>
          <w:tcPr>
            <w:tcW w:type="dxa" w:w="1606"/>
            <w:vAlign w:val="center"/>
          </w:tcPr>
          <w:p>
            <w:pPr>
              <w:keepNext w:val="0"/>
              <w:spacing w:after="60" w:before="60"/>
              <w:jc w:val="center"/>
            </w:pPr>
            <w:r>
              <w:rPr>
                <w:rFonts w:ascii="Segoe UI Light" w:hAnsi="Segoe UI Light"/>
                <w:b w:val="0"/>
                <w:sz w:val="18"/>
              </w:rPr>
              <w:t>41.1%</w:t>
            </w:r>
          </w:p>
        </w:tc>
        <w:tc>
          <w:tcPr>
            <w:tcW w:type="dxa" w:w="1606"/>
            <w:vAlign w:val="center"/>
          </w:tcPr>
          <w:p>
            <w:pPr>
              <w:keepNext w:val="0"/>
              <w:spacing w:after="60" w:before="60"/>
              <w:jc w:val="center"/>
            </w:pPr>
            <w:r>
              <w:rPr>
                <w:rFonts w:ascii="Segoe UI Light" w:hAnsi="Segoe UI Light"/>
                <w:b w:val="0"/>
                <w:sz w:val="18"/>
              </w:rPr>
              <w:t>36.8%</w:t>
            </w:r>
          </w:p>
        </w:tc>
        <w:tc>
          <w:tcPr>
            <w:tcW w:type="dxa" w:w="1606"/>
            <w:vAlign w:val="center"/>
          </w:tcPr>
          <w:p>
            <w:pPr>
              <w:keepNext w:val="0"/>
              <w:spacing w:after="60" w:before="60"/>
              <w:jc w:val="center"/>
            </w:pPr>
            <w:r>
              <w:rPr>
                <w:rFonts w:ascii="Segoe UI Light" w:hAnsi="Segoe UI Light"/>
                <w:b w:val="0"/>
                <w:sz w:val="18"/>
              </w:rPr>
              <w:t>22.1%</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Role Overload</w:t>
            </w:r>
          </w:p>
        </w:tc>
        <w:tc>
          <w:tcPr>
            <w:tcW w:type="dxa" w:w="1606"/>
            <w:shd w:fill="F1F5F9" w:val="clear"/>
            <w:vAlign w:val="center"/>
          </w:tcPr>
          <w:p>
            <w:pPr>
              <w:keepNext w:val="0"/>
              <w:spacing w:after="60" w:before="60"/>
              <w:jc w:val="center"/>
            </w:pPr>
            <w:r>
              <w:rPr>
                <w:rFonts w:ascii="Segoe UI Light" w:hAnsi="Segoe UI Light"/>
                <w:b w:val="0"/>
                <w:sz w:val="18"/>
              </w:rPr>
              <w:t>27.9%</w:t>
            </w:r>
          </w:p>
        </w:tc>
        <w:tc>
          <w:tcPr>
            <w:tcW w:type="dxa" w:w="1606"/>
            <w:shd w:fill="F1F5F9" w:val="clear"/>
            <w:vAlign w:val="center"/>
          </w:tcPr>
          <w:p>
            <w:pPr>
              <w:keepNext w:val="0"/>
              <w:spacing w:after="60" w:before="60"/>
              <w:jc w:val="center"/>
            </w:pPr>
            <w:r>
              <w:rPr>
                <w:rFonts w:ascii="Segoe UI Light" w:hAnsi="Segoe UI Light"/>
                <w:b w:val="0"/>
                <w:sz w:val="18"/>
              </w:rPr>
              <w:t>46.9%</w:t>
            </w:r>
          </w:p>
        </w:tc>
        <w:tc>
          <w:tcPr>
            <w:tcW w:type="dxa" w:w="1606"/>
            <w:shd w:fill="F1F5F9" w:val="clear"/>
            <w:vAlign w:val="center"/>
          </w:tcPr>
          <w:p>
            <w:pPr>
              <w:keepNext w:val="0"/>
              <w:spacing w:after="60" w:before="60"/>
              <w:jc w:val="center"/>
            </w:pPr>
            <w:r>
              <w:rPr>
                <w:rFonts w:ascii="Segoe UI Light" w:hAnsi="Segoe UI Light"/>
                <w:b w:val="0"/>
                <w:sz w:val="18"/>
              </w:rPr>
              <w:t>25.2%</w:t>
            </w:r>
          </w:p>
        </w:tc>
        <w:tc>
          <w:tcPr>
            <w:tcW w:type="dxa" w:w="2008"/>
            <w:shd w:fill="F1F5F9" w:val="clear"/>
            <w:vAlign w:val="center"/>
          </w:tcPr>
          <w:p>
            <w:pPr>
              <w:keepNext w:val="0"/>
              <w:spacing w:after="60" w:before="60"/>
              <w:jc w:val="left"/>
            </w:pPr>
            <w:r>
              <w:rPr>
                <w:rFonts w:ascii="Segoe UI Light" w:hAnsi="Segoe UI Light"/>
                <w:b w:val="0"/>
                <w:sz w:val="18"/>
              </w:rPr>
              <w:t>Lower is favourable</w:t>
            </w:r>
          </w:p>
        </w:tc>
      </w:tr>
      <w:tr>
        <w:trPr>
          <w:cantSplit/>
        </w:trPr>
        <w:tc>
          <w:tcPr>
            <w:tcW w:type="dxa" w:w="2811"/>
            <w:vAlign w:val="center"/>
          </w:tcPr>
          <w:p>
            <w:pPr>
              <w:keepNext w:val="0"/>
              <w:spacing w:after="60" w:before="60"/>
              <w:jc w:val="left"/>
            </w:pPr>
            <w:r>
              <w:rPr>
                <w:rFonts w:ascii="Segoe UI Light" w:hAnsi="Segoe UI Light"/>
                <w:b w:val="0"/>
                <w:sz w:val="18"/>
              </w:rPr>
              <w:t>Supervisor Support</w:t>
            </w:r>
          </w:p>
        </w:tc>
        <w:tc>
          <w:tcPr>
            <w:tcW w:type="dxa" w:w="1606"/>
            <w:vAlign w:val="center"/>
          </w:tcPr>
          <w:p>
            <w:pPr>
              <w:keepNext w:val="0"/>
              <w:spacing w:after="60" w:before="60"/>
              <w:jc w:val="center"/>
            </w:pPr>
            <w:r>
              <w:rPr>
                <w:rFonts w:ascii="Segoe UI Light" w:hAnsi="Segoe UI Light"/>
                <w:b w:val="0"/>
                <w:sz w:val="18"/>
              </w:rPr>
              <w:t>20.8%</w:t>
            </w:r>
          </w:p>
        </w:tc>
        <w:tc>
          <w:tcPr>
            <w:tcW w:type="dxa" w:w="1606"/>
            <w:vAlign w:val="center"/>
          </w:tcPr>
          <w:p>
            <w:pPr>
              <w:keepNext w:val="0"/>
              <w:spacing w:after="60" w:before="60"/>
              <w:jc w:val="center"/>
            </w:pPr>
            <w:r>
              <w:rPr>
                <w:rFonts w:ascii="Segoe UI Light" w:hAnsi="Segoe UI Light"/>
                <w:b w:val="0"/>
                <w:sz w:val="18"/>
              </w:rPr>
              <w:t>36.9%</w:t>
            </w:r>
          </w:p>
        </w:tc>
        <w:tc>
          <w:tcPr>
            <w:tcW w:type="dxa" w:w="1606"/>
            <w:vAlign w:val="center"/>
          </w:tcPr>
          <w:p>
            <w:pPr>
              <w:keepNext w:val="0"/>
              <w:spacing w:after="60" w:before="60"/>
              <w:jc w:val="center"/>
            </w:pPr>
            <w:r>
              <w:rPr>
                <w:rFonts w:ascii="Segoe UI Light" w:hAnsi="Segoe UI Light"/>
                <w:b w:val="0"/>
                <w:sz w:val="18"/>
              </w:rPr>
              <w:t>42.4%</w:t>
            </w:r>
          </w:p>
        </w:tc>
        <w:tc>
          <w:tcPr>
            <w:tcW w:type="dxa" w:w="2008"/>
            <w:vAlign w:val="center"/>
          </w:tcPr>
          <w:p>
            <w:pPr>
              <w:keepNext w:val="0"/>
              <w:spacing w:after="60" w:before="60"/>
              <w:jc w:val="left"/>
            </w:pPr>
            <w:r>
              <w:rPr>
                <w:rFonts w:ascii="Segoe UI Light" w:hAnsi="Segoe UI Light"/>
                <w:b w:val="0"/>
                <w:sz w:val="18"/>
              </w:rPr>
              <w:t>Higher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Work Engagement</w:t>
            </w:r>
          </w:p>
        </w:tc>
        <w:tc>
          <w:tcPr>
            <w:tcW w:type="dxa" w:w="1606"/>
            <w:shd w:fill="F1F5F9" w:val="clear"/>
            <w:vAlign w:val="center"/>
          </w:tcPr>
          <w:p>
            <w:pPr>
              <w:keepNext w:val="0"/>
              <w:spacing w:after="60" w:before="60"/>
              <w:jc w:val="center"/>
            </w:pPr>
            <w:r>
              <w:rPr>
                <w:rFonts w:ascii="Segoe UI Light" w:hAnsi="Segoe UI Light"/>
                <w:b w:val="0"/>
                <w:sz w:val="18"/>
              </w:rPr>
              <w:t>18.5%</w:t>
            </w:r>
          </w:p>
        </w:tc>
        <w:tc>
          <w:tcPr>
            <w:tcW w:type="dxa" w:w="1606"/>
            <w:shd w:fill="F1F5F9" w:val="clear"/>
            <w:vAlign w:val="center"/>
          </w:tcPr>
          <w:p>
            <w:pPr>
              <w:keepNext w:val="0"/>
              <w:spacing w:after="60" w:before="60"/>
              <w:jc w:val="center"/>
            </w:pPr>
            <w:r>
              <w:rPr>
                <w:rFonts w:ascii="Segoe UI Light" w:hAnsi="Segoe UI Light"/>
                <w:b w:val="0"/>
                <w:sz w:val="18"/>
              </w:rPr>
              <w:t>47.4%</w:t>
            </w:r>
          </w:p>
        </w:tc>
        <w:tc>
          <w:tcPr>
            <w:tcW w:type="dxa" w:w="1606"/>
            <w:shd w:fill="F1F5F9" w:val="clear"/>
            <w:vAlign w:val="center"/>
          </w:tcPr>
          <w:p>
            <w:pPr>
              <w:keepNext w:val="0"/>
              <w:spacing w:after="60" w:before="60"/>
              <w:jc w:val="center"/>
            </w:pPr>
            <w:r>
              <w:rPr>
                <w:rFonts w:ascii="Segoe UI Light" w:hAnsi="Segoe UI Light"/>
                <w:b w:val="0"/>
                <w:sz w:val="18"/>
              </w:rPr>
              <w:t>34.1%</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r>
        <w:trPr>
          <w:cantSplit/>
        </w:trPr>
        <w:tc>
          <w:tcPr>
            <w:tcW w:type="dxa" w:w="2811"/>
            <w:vAlign w:val="center"/>
          </w:tcPr>
          <w:p>
            <w:pPr>
              <w:keepNext w:val="0"/>
              <w:spacing w:after="60" w:before="60"/>
              <w:jc w:val="left"/>
            </w:pPr>
            <w:r>
              <w:rPr>
                <w:rFonts w:ascii="Segoe UI Light" w:hAnsi="Segoe UI Light"/>
                <w:b w:val="0"/>
                <w:sz w:val="18"/>
              </w:rPr>
              <w:t>Work Life Conflict</w:t>
            </w:r>
          </w:p>
        </w:tc>
        <w:tc>
          <w:tcPr>
            <w:tcW w:type="dxa" w:w="1606"/>
            <w:vAlign w:val="center"/>
          </w:tcPr>
          <w:p>
            <w:pPr>
              <w:keepNext w:val="0"/>
              <w:spacing w:after="60" w:before="60"/>
              <w:jc w:val="center"/>
            </w:pPr>
            <w:r>
              <w:rPr>
                <w:rFonts w:ascii="Segoe UI Light" w:hAnsi="Segoe UI Light"/>
                <w:b w:val="0"/>
                <w:sz w:val="18"/>
              </w:rPr>
              <w:t>45.5%</w:t>
            </w:r>
          </w:p>
        </w:tc>
        <w:tc>
          <w:tcPr>
            <w:tcW w:type="dxa" w:w="1606"/>
            <w:vAlign w:val="center"/>
          </w:tcPr>
          <w:p>
            <w:pPr>
              <w:keepNext w:val="0"/>
              <w:spacing w:after="60" w:before="60"/>
              <w:jc w:val="center"/>
            </w:pPr>
            <w:r>
              <w:rPr>
                <w:rFonts w:ascii="Segoe UI Light" w:hAnsi="Segoe UI Light"/>
                <w:b w:val="0"/>
                <w:sz w:val="18"/>
              </w:rPr>
              <w:t>34.3%</w:t>
            </w:r>
          </w:p>
        </w:tc>
        <w:tc>
          <w:tcPr>
            <w:tcW w:type="dxa" w:w="1606"/>
            <w:vAlign w:val="center"/>
          </w:tcPr>
          <w:p>
            <w:pPr>
              <w:keepNext w:val="0"/>
              <w:spacing w:after="60" w:before="60"/>
              <w:jc w:val="center"/>
            </w:pPr>
            <w:r>
              <w:rPr>
                <w:rFonts w:ascii="Segoe UI Light" w:hAnsi="Segoe UI Light"/>
                <w:b w:val="0"/>
                <w:sz w:val="18"/>
              </w:rPr>
              <w:t>20.2%</w:t>
            </w:r>
          </w:p>
        </w:tc>
        <w:tc>
          <w:tcPr>
            <w:tcW w:type="dxa" w:w="2008"/>
            <w:vAlign w:val="center"/>
          </w:tcPr>
          <w:p>
            <w:pPr>
              <w:keepNext w:val="0"/>
              <w:spacing w:after="60" w:before="60"/>
              <w:jc w:val="left"/>
            </w:pPr>
            <w:r>
              <w:rPr>
                <w:rFonts w:ascii="Segoe UI Light" w:hAnsi="Segoe UI Light"/>
                <w:b w:val="0"/>
                <w:sz w:val="18"/>
              </w:rPr>
              <w:t>Lower is favourable</w:t>
            </w:r>
          </w:p>
        </w:tc>
      </w:tr>
      <w:tr>
        <w:trPr>
          <w:cantSplit/>
        </w:trPr>
        <w:tc>
          <w:tcPr>
            <w:tcW w:type="dxa" w:w="2811"/>
            <w:shd w:fill="F1F5F9" w:val="clear"/>
            <w:vAlign w:val="center"/>
          </w:tcPr>
          <w:p>
            <w:pPr>
              <w:keepNext w:val="0"/>
              <w:spacing w:after="60" w:before="60"/>
              <w:jc w:val="left"/>
            </w:pPr>
            <w:r>
              <w:rPr>
                <w:rFonts w:ascii="Segoe UI Light" w:hAnsi="Segoe UI Light"/>
                <w:b w:val="0"/>
                <w:sz w:val="18"/>
              </w:rPr>
              <w:t>Workplace Relationships</w:t>
            </w:r>
          </w:p>
        </w:tc>
        <w:tc>
          <w:tcPr>
            <w:tcW w:type="dxa" w:w="1606"/>
            <w:shd w:fill="F1F5F9" w:val="clear"/>
            <w:vAlign w:val="center"/>
          </w:tcPr>
          <w:p>
            <w:pPr>
              <w:keepNext w:val="0"/>
              <w:spacing w:after="60" w:before="60"/>
              <w:jc w:val="center"/>
            </w:pPr>
            <w:r>
              <w:rPr>
                <w:rFonts w:ascii="Segoe UI Light" w:hAnsi="Segoe UI Light"/>
                <w:b w:val="0"/>
                <w:sz w:val="18"/>
              </w:rPr>
              <w:t>11.1%</w:t>
            </w:r>
          </w:p>
        </w:tc>
        <w:tc>
          <w:tcPr>
            <w:tcW w:type="dxa" w:w="1606"/>
            <w:shd w:fill="F1F5F9" w:val="clear"/>
            <w:vAlign w:val="center"/>
          </w:tcPr>
          <w:p>
            <w:pPr>
              <w:keepNext w:val="0"/>
              <w:spacing w:after="60" w:before="60"/>
              <w:jc w:val="center"/>
            </w:pPr>
            <w:r>
              <w:rPr>
                <w:rFonts w:ascii="Segoe UI Light" w:hAnsi="Segoe UI Light"/>
                <w:b w:val="0"/>
                <w:sz w:val="18"/>
              </w:rPr>
              <w:t>32.1%</w:t>
            </w:r>
          </w:p>
        </w:tc>
        <w:tc>
          <w:tcPr>
            <w:tcW w:type="dxa" w:w="1606"/>
            <w:shd w:fill="F1F5F9" w:val="clear"/>
            <w:vAlign w:val="center"/>
          </w:tcPr>
          <w:p>
            <w:pPr>
              <w:keepNext w:val="0"/>
              <w:spacing w:after="60" w:before="60"/>
              <w:jc w:val="center"/>
            </w:pPr>
            <w:r>
              <w:rPr>
                <w:rFonts w:ascii="Segoe UI Light" w:hAnsi="Segoe UI Light"/>
                <w:b w:val="0"/>
                <w:sz w:val="18"/>
              </w:rPr>
              <w:t>56.8%</w:t>
            </w:r>
          </w:p>
        </w:tc>
        <w:tc>
          <w:tcPr>
            <w:tcW w:type="dxa" w:w="2008"/>
            <w:shd w:fill="F1F5F9" w:val="clear"/>
            <w:vAlign w:val="center"/>
          </w:tcPr>
          <w:p>
            <w:pPr>
              <w:keepNext w:val="0"/>
              <w:spacing w:after="60" w:before="60"/>
              <w:jc w:val="left"/>
            </w:pPr>
            <w:r>
              <w:rPr>
                <w:rFonts w:ascii="Segoe UI Light" w:hAnsi="Segoe UI Light"/>
                <w:b w:val="0"/>
                <w:sz w:val="18"/>
              </w:rPr>
              <w:t>Higher is favourable</w:t>
            </w:r>
          </w:p>
        </w:tc>
      </w:tr>
    </w:tbl>
    <w:p>
      <w:bookmarkStart w:id="16" w:name="_PWToc16"/>
      <w:pPr>
        <w:pStyle w:val="Heading2"/>
        <w:pageBreakBefore/>
      </w:pPr>
      <w:r>
        <w:rPr>
          <w:rFonts w:ascii="Segoe UI Light" w:hAnsi="Segoe UI Light"/>
          <w:b/>
          <w:color w:val="2D5A8E"/>
          <w:sz w:val="22"/>
        </w:rPr>
        <w:t>A3 – Simple Scenarios: One Factor at a Time</w:t>
      </w:r>
      <w:bookmarkEnd w:id="16"/>
    </w:p>
    <w:p>
      <w:pPr>
        <w:spacing w:after="160"/>
      </w:pPr>
      <w:r>
        <w:rPr>
          <w:rFonts w:ascii="Segoe UI Light" w:hAnsi="Segoe UI Light"/>
          <w:color w:val="64748B"/>
          <w:sz w:val="20"/>
        </w:rPr>
        <w:t>Each row compares a hypothetical change in one workplace factor with the starting model. Related conditions can change in the calculation; they are not all held fixed. The exact comparison state is shown where recorded. Positive values increase the named outcome state, which is favourable only where stated. The summed score adds changes across outcomes and is not a share of workers. Do not add separate rows to predict a joint effect.</w:t>
      </w:r>
    </w:p>
    <w:tbl>
      <w:tblPr>
        <w:tblStyle w:val="TableGrid"/>
        <w:tblLayout w:type="fixed"/>
        <w:tblLook w:firstColumn="1" w:firstRow="1" w:lastColumn="0" w:lastRow="0" w:noHBand="0" w:noVBand="1" w:val="04A0"/>
        <w:tblW w:w="5000" w:type="pct"/>
      </w:tblPr>
      <w:tblGrid>
        <w:gridCol w:w="2934"/>
        <w:gridCol w:w="1676"/>
        <w:gridCol w:w="1676"/>
        <w:gridCol w:w="1676"/>
        <w:gridCol w:w="1676"/>
      </w:tblGrid>
      <w:tr>
        <w:trPr>
          <w:tblHeader/>
          <w:cantSplit/>
        </w:trPr>
        <w:tc>
          <w:tcPr>
            <w:tcW w:type="dxa" w:w="2934"/>
            <w:shd w:fill="1E3A5F" w:val="clear"/>
            <w:vAlign w:val="center"/>
          </w:tcPr>
          <w:p>
            <w:pPr>
              <w:keepNext/>
              <w:spacing w:after="60" w:before="60"/>
              <w:jc w:val="left"/>
            </w:pPr>
            <w:r>
              <w:rPr>
                <w:rFonts w:ascii="Segoe UI Light" w:hAnsi="Segoe UI Light"/>
                <w:b/>
                <w:color w:val="FFFFFF"/>
                <w:sz w:val="18"/>
              </w:rPr>
              <w:t>Factor / scenario state</w:t>
            </w:r>
          </w:p>
        </w:tc>
        <w:tc>
          <w:tcPr>
            <w:tcW w:type="dxa" w:w="1676"/>
            <w:shd w:fill="1E3A5F" w:val="clear"/>
            <w:vAlign w:val="center"/>
          </w:tcPr>
          <w:p>
            <w:pPr>
              <w:keepNext/>
              <w:spacing w:after="60" w:before="60"/>
              <w:jc w:val="left"/>
            </w:pPr>
            <w:r>
              <w:rPr>
                <w:rFonts w:ascii="Segoe UI Light" w:hAnsi="Segoe UI Light"/>
                <w:b/>
                <w:color w:val="FFFFFF"/>
                <w:sz w:val="18"/>
              </w:rPr>
              <w:t>Work Engagement</w:t>
              <w:br/>
              <w:t>H (favourable)</w:t>
              <w:br/>
              <w:t>Change (pp)</w:t>
            </w:r>
          </w:p>
        </w:tc>
        <w:tc>
          <w:tcPr>
            <w:tcW w:type="dxa" w:w="1676"/>
            <w:shd w:fill="1E3A5F" w:val="clear"/>
            <w:vAlign w:val="center"/>
          </w:tcPr>
          <w:p>
            <w:pPr>
              <w:keepNext/>
              <w:spacing w:after="60" w:before="60"/>
              <w:jc w:val="left"/>
            </w:pPr>
            <w:r>
              <w:rPr>
                <w:rFonts w:ascii="Segoe UI Light" w:hAnsi="Segoe UI Light"/>
                <w:b/>
                <w:color w:val="FFFFFF"/>
                <w:sz w:val="18"/>
              </w:rPr>
              <w:t>Burnout</w:t>
              <w:br/>
              <w:t>L (favourable)</w:t>
              <w:br/>
              <w:t>Change (pp)</w:t>
            </w:r>
          </w:p>
        </w:tc>
        <w:tc>
          <w:tcPr>
            <w:tcW w:type="dxa" w:w="1676"/>
            <w:shd w:fill="1E3A5F" w:val="clear"/>
            <w:vAlign w:val="center"/>
          </w:tcPr>
          <w:p>
            <w:pPr>
              <w:keepNext/>
              <w:spacing w:after="60" w:before="60"/>
              <w:jc w:val="left"/>
            </w:pPr>
            <w:r>
              <w:rPr>
                <w:rFonts w:ascii="Segoe UI Light" w:hAnsi="Segoe UI Light"/>
                <w:b/>
                <w:color w:val="FFFFFF"/>
                <w:sz w:val="18"/>
              </w:rPr>
              <w:t>Psych Distress</w:t>
              <w:br/>
              <w:t>L (favourable)</w:t>
              <w:br/>
              <w:t>Change (pp)</w:t>
            </w:r>
          </w:p>
        </w:tc>
        <w:tc>
          <w:tcPr>
            <w:tcW w:type="dxa" w:w="1676"/>
            <w:shd w:fill="1E3A5F" w:val="clear"/>
            <w:vAlign w:val="center"/>
          </w:tcPr>
          <w:p>
            <w:pPr>
              <w:keepNext/>
              <w:spacing w:after="60" w:before="60"/>
              <w:jc w:val="left"/>
            </w:pPr>
            <w:r>
              <w:rPr>
                <w:rFonts w:ascii="Segoe UI Light" w:hAnsi="Segoe UI Light"/>
                <w:b/>
                <w:color w:val="FFFFFF"/>
                <w:sz w:val="18"/>
              </w:rPr>
              <w:t>Sum (points)</w:t>
            </w:r>
          </w:p>
        </w:tc>
      </w:tr>
      <w:tr>
        <w:trPr>
          <w:cantSplit/>
        </w:trPr>
        <w:tc>
          <w:tcPr>
            <w:tcW w:type="dxa" w:w="2934"/>
            <w:vAlign w:val="center"/>
          </w:tcPr>
          <w:p>
            <w:pPr>
              <w:keepNext w:val="0"/>
              <w:spacing w:after="60" w:before="60"/>
              <w:jc w:val="left"/>
            </w:pPr>
            <w:r>
              <w:rPr>
                <w:rFonts w:ascii="Segoe UI Light" w:hAnsi="Segoe UI Light"/>
                <w:b w:val="0"/>
                <w:sz w:val="18"/>
              </w:rPr>
              <w:t>Role Overload</w:t>
              <w:br/>
              <w:t>Scenario state: L</w:t>
            </w:r>
          </w:p>
        </w:tc>
        <w:tc>
          <w:tcPr>
            <w:tcW w:type="dxa" w:w="1676"/>
            <w:vAlign w:val="center"/>
          </w:tcPr>
          <w:p>
            <w:pPr>
              <w:keepNext w:val="0"/>
              <w:spacing w:after="60" w:before="60"/>
              <w:jc w:val="center"/>
            </w:pPr>
            <w:r>
              <w:rPr>
                <w:rFonts w:ascii="Segoe UI Light" w:hAnsi="Segoe UI Light"/>
                <w:b w:val="0"/>
                <w:sz w:val="18"/>
              </w:rPr>
              <w:t>-1.1 pp</w:t>
            </w:r>
          </w:p>
        </w:tc>
        <w:tc>
          <w:tcPr>
            <w:tcW w:type="dxa" w:w="1676"/>
            <w:vAlign w:val="center"/>
          </w:tcPr>
          <w:p>
            <w:pPr>
              <w:keepNext w:val="0"/>
              <w:spacing w:after="60" w:before="60"/>
              <w:jc w:val="center"/>
            </w:pPr>
            <w:r>
              <w:rPr>
                <w:rFonts w:ascii="Segoe UI Light" w:hAnsi="Segoe UI Light"/>
                <w:b w:val="0"/>
                <w:sz w:val="18"/>
              </w:rPr>
              <w:t>+19.2 pp</w:t>
            </w:r>
          </w:p>
        </w:tc>
        <w:tc>
          <w:tcPr>
            <w:tcW w:type="dxa" w:w="1676"/>
            <w:vAlign w:val="center"/>
          </w:tcPr>
          <w:p>
            <w:pPr>
              <w:keepNext w:val="0"/>
              <w:spacing w:after="60" w:before="60"/>
              <w:jc w:val="center"/>
            </w:pPr>
            <w:r>
              <w:rPr>
                <w:rFonts w:ascii="Segoe UI Light" w:hAnsi="Segoe UI Light"/>
                <w:b w:val="0"/>
                <w:sz w:val="18"/>
              </w:rPr>
              <w:t>+10.9 pp</w:t>
            </w:r>
          </w:p>
        </w:tc>
        <w:tc>
          <w:tcPr>
            <w:tcW w:type="dxa" w:w="1676"/>
            <w:vAlign w:val="center"/>
          </w:tcPr>
          <w:p>
            <w:pPr>
              <w:keepNext w:val="0"/>
              <w:spacing w:after="60" w:before="60"/>
              <w:jc w:val="center"/>
            </w:pPr>
            <w:r>
              <w:rPr>
                <w:rFonts w:ascii="Segoe UI Light" w:hAnsi="Segoe UI Light"/>
                <w:b w:val="0"/>
                <w:sz w:val="18"/>
              </w:rPr>
              <w:t>+29.0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Work Life Conflict</w:t>
              <w:br/>
              <w:t>Scenario state: L</w:t>
            </w:r>
          </w:p>
        </w:tc>
        <w:tc>
          <w:tcPr>
            <w:tcW w:type="dxa" w:w="1676"/>
            <w:shd w:fill="F1F5F9" w:val="clear"/>
            <w:vAlign w:val="center"/>
          </w:tcPr>
          <w:p>
            <w:pPr>
              <w:keepNext w:val="0"/>
              <w:spacing w:after="60" w:before="60"/>
              <w:jc w:val="center"/>
            </w:pPr>
            <w:r>
              <w:rPr>
                <w:rFonts w:ascii="Segoe UI Light" w:hAnsi="Segoe UI Light"/>
                <w:b w:val="0"/>
                <w:sz w:val="18"/>
              </w:rPr>
              <w:t>+6.5 pp</w:t>
            </w:r>
          </w:p>
        </w:tc>
        <w:tc>
          <w:tcPr>
            <w:tcW w:type="dxa" w:w="1676"/>
            <w:shd w:fill="F1F5F9" w:val="clear"/>
            <w:vAlign w:val="center"/>
          </w:tcPr>
          <w:p>
            <w:pPr>
              <w:keepNext w:val="0"/>
              <w:spacing w:after="60" w:before="60"/>
              <w:jc w:val="center"/>
            </w:pPr>
            <w:r>
              <w:rPr>
                <w:rFonts w:ascii="Segoe UI Light" w:hAnsi="Segoe UI Light"/>
                <w:b w:val="0"/>
                <w:sz w:val="18"/>
              </w:rPr>
              <w:t>+9.2 pp</w:t>
            </w:r>
          </w:p>
        </w:tc>
        <w:tc>
          <w:tcPr>
            <w:tcW w:type="dxa" w:w="1676"/>
            <w:shd w:fill="F1F5F9" w:val="clear"/>
            <w:vAlign w:val="center"/>
          </w:tcPr>
          <w:p>
            <w:pPr>
              <w:keepNext w:val="0"/>
              <w:spacing w:after="60" w:before="60"/>
              <w:jc w:val="center"/>
            </w:pPr>
            <w:r>
              <w:rPr>
                <w:rFonts w:ascii="Segoe UI Light" w:hAnsi="Segoe UI Light"/>
                <w:b w:val="0"/>
                <w:sz w:val="18"/>
              </w:rPr>
              <w:t>+12.1 pp</w:t>
            </w:r>
          </w:p>
        </w:tc>
        <w:tc>
          <w:tcPr>
            <w:tcW w:type="dxa" w:w="1676"/>
            <w:shd w:fill="F1F5F9" w:val="clear"/>
            <w:vAlign w:val="center"/>
          </w:tcPr>
          <w:p>
            <w:pPr>
              <w:keepNext w:val="0"/>
              <w:spacing w:after="60" w:before="60"/>
              <w:jc w:val="center"/>
            </w:pPr>
            <w:r>
              <w:rPr>
                <w:rFonts w:ascii="Segoe UI Light" w:hAnsi="Segoe UI Light"/>
                <w:b w:val="0"/>
                <w:sz w:val="18"/>
              </w:rPr>
              <w:t>+27.8 points</w:t>
            </w:r>
          </w:p>
        </w:tc>
      </w:tr>
      <w:tr>
        <w:trPr>
          <w:cantSplit/>
        </w:trPr>
        <w:tc>
          <w:tcPr>
            <w:tcW w:type="dxa" w:w="2934"/>
            <w:vAlign w:val="center"/>
          </w:tcPr>
          <w:p>
            <w:pPr>
              <w:keepNext w:val="0"/>
              <w:spacing w:after="60" w:before="60"/>
              <w:jc w:val="left"/>
            </w:pPr>
            <w:r>
              <w:rPr>
                <w:rFonts w:ascii="Segoe UI Light" w:hAnsi="Segoe UI Light"/>
                <w:b w:val="0"/>
                <w:sz w:val="18"/>
              </w:rPr>
              <w:t>Recognition</w:t>
              <w:br/>
              <w:t>Scenario state: H</w:t>
            </w:r>
          </w:p>
        </w:tc>
        <w:tc>
          <w:tcPr>
            <w:tcW w:type="dxa" w:w="1676"/>
            <w:vAlign w:val="center"/>
          </w:tcPr>
          <w:p>
            <w:pPr>
              <w:keepNext w:val="0"/>
              <w:spacing w:after="60" w:before="60"/>
              <w:jc w:val="center"/>
            </w:pPr>
            <w:r>
              <w:rPr>
                <w:rFonts w:ascii="Segoe UI Light" w:hAnsi="Segoe UI Light"/>
                <w:b w:val="0"/>
                <w:sz w:val="18"/>
              </w:rPr>
              <w:t>+10.8 pp</w:t>
            </w:r>
          </w:p>
        </w:tc>
        <w:tc>
          <w:tcPr>
            <w:tcW w:type="dxa" w:w="1676"/>
            <w:vAlign w:val="center"/>
          </w:tcPr>
          <w:p>
            <w:pPr>
              <w:keepNext w:val="0"/>
              <w:spacing w:after="60" w:before="60"/>
              <w:jc w:val="center"/>
            </w:pPr>
            <w:r>
              <w:rPr>
                <w:rFonts w:ascii="Segoe UI Light" w:hAnsi="Segoe UI Light"/>
                <w:b w:val="0"/>
                <w:sz w:val="18"/>
              </w:rPr>
              <w:t>+5.5 pp</w:t>
            </w:r>
          </w:p>
        </w:tc>
        <w:tc>
          <w:tcPr>
            <w:tcW w:type="dxa" w:w="1676"/>
            <w:vAlign w:val="center"/>
          </w:tcPr>
          <w:p>
            <w:pPr>
              <w:keepNext w:val="0"/>
              <w:spacing w:after="60" w:before="60"/>
              <w:jc w:val="center"/>
            </w:pPr>
            <w:r>
              <w:rPr>
                <w:rFonts w:ascii="Segoe UI Light" w:hAnsi="Segoe UI Light"/>
                <w:b w:val="0"/>
                <w:sz w:val="18"/>
              </w:rPr>
              <w:t>+3.6 pp</w:t>
            </w:r>
          </w:p>
        </w:tc>
        <w:tc>
          <w:tcPr>
            <w:tcW w:type="dxa" w:w="1676"/>
            <w:vAlign w:val="center"/>
          </w:tcPr>
          <w:p>
            <w:pPr>
              <w:keepNext w:val="0"/>
              <w:spacing w:after="60" w:before="60"/>
              <w:jc w:val="center"/>
            </w:pPr>
            <w:r>
              <w:rPr>
                <w:rFonts w:ascii="Segoe UI Light" w:hAnsi="Segoe UI Light"/>
                <w:b w:val="0"/>
                <w:sz w:val="18"/>
              </w:rPr>
              <w:t>+19.9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Meaningful Work</w:t>
              <w:br/>
              <w:t>Scenario state: H</w:t>
            </w:r>
          </w:p>
        </w:tc>
        <w:tc>
          <w:tcPr>
            <w:tcW w:type="dxa" w:w="1676"/>
            <w:shd w:fill="F1F5F9" w:val="clear"/>
            <w:vAlign w:val="center"/>
          </w:tcPr>
          <w:p>
            <w:pPr>
              <w:keepNext w:val="0"/>
              <w:spacing w:after="60" w:before="60"/>
              <w:jc w:val="center"/>
            </w:pPr>
            <w:r>
              <w:rPr>
                <w:rFonts w:ascii="Segoe UI Light" w:hAnsi="Segoe UI Light"/>
                <w:b w:val="0"/>
                <w:sz w:val="18"/>
              </w:rPr>
              <w:t>+12.0 pp</w:t>
            </w:r>
          </w:p>
        </w:tc>
        <w:tc>
          <w:tcPr>
            <w:tcW w:type="dxa" w:w="1676"/>
            <w:shd w:fill="F1F5F9" w:val="clear"/>
            <w:vAlign w:val="center"/>
          </w:tcPr>
          <w:p>
            <w:pPr>
              <w:keepNext w:val="0"/>
              <w:spacing w:after="60" w:before="60"/>
              <w:jc w:val="center"/>
            </w:pPr>
            <w:r>
              <w:rPr>
                <w:rFonts w:ascii="Segoe UI Light" w:hAnsi="Segoe UI Light"/>
                <w:b w:val="0"/>
                <w:sz w:val="18"/>
              </w:rPr>
              <w:t>+4.2 pp</w:t>
            </w:r>
          </w:p>
        </w:tc>
        <w:tc>
          <w:tcPr>
            <w:tcW w:type="dxa" w:w="1676"/>
            <w:shd w:fill="F1F5F9" w:val="clear"/>
            <w:vAlign w:val="center"/>
          </w:tcPr>
          <w:p>
            <w:pPr>
              <w:keepNext w:val="0"/>
              <w:spacing w:after="60" w:before="60"/>
              <w:jc w:val="center"/>
            </w:pPr>
            <w:r>
              <w:rPr>
                <w:rFonts w:ascii="Segoe UI Light" w:hAnsi="Segoe UI Light"/>
                <w:b w:val="0"/>
                <w:sz w:val="18"/>
              </w:rPr>
              <w:t>+1.7 pp</w:t>
            </w:r>
          </w:p>
        </w:tc>
        <w:tc>
          <w:tcPr>
            <w:tcW w:type="dxa" w:w="1676"/>
            <w:shd w:fill="F1F5F9" w:val="clear"/>
            <w:vAlign w:val="center"/>
          </w:tcPr>
          <w:p>
            <w:pPr>
              <w:keepNext w:val="0"/>
              <w:spacing w:after="60" w:before="60"/>
              <w:jc w:val="center"/>
            </w:pPr>
            <w:r>
              <w:rPr>
                <w:rFonts w:ascii="Segoe UI Light" w:hAnsi="Segoe UI Light"/>
                <w:b w:val="0"/>
                <w:sz w:val="18"/>
              </w:rPr>
              <w:t>+17.9 points</w:t>
            </w:r>
          </w:p>
        </w:tc>
      </w:tr>
      <w:tr>
        <w:trPr>
          <w:cantSplit/>
        </w:trPr>
        <w:tc>
          <w:tcPr>
            <w:tcW w:type="dxa" w:w="2934"/>
            <w:vAlign w:val="center"/>
          </w:tcPr>
          <w:p>
            <w:pPr>
              <w:keepNext w:val="0"/>
              <w:spacing w:after="60" w:before="60"/>
              <w:jc w:val="left"/>
            </w:pPr>
            <w:r>
              <w:rPr>
                <w:rFonts w:ascii="Segoe UI Light" w:hAnsi="Segoe UI Light"/>
                <w:b w:val="0"/>
                <w:sz w:val="18"/>
              </w:rPr>
              <w:t>Procedural Justice</w:t>
              <w:br/>
              <w:t>Scenario state: H</w:t>
            </w:r>
          </w:p>
        </w:tc>
        <w:tc>
          <w:tcPr>
            <w:tcW w:type="dxa" w:w="1676"/>
            <w:vAlign w:val="center"/>
          </w:tcPr>
          <w:p>
            <w:pPr>
              <w:keepNext w:val="0"/>
              <w:spacing w:after="60" w:before="60"/>
              <w:jc w:val="center"/>
            </w:pPr>
            <w:r>
              <w:rPr>
                <w:rFonts w:ascii="Segoe UI Light" w:hAnsi="Segoe UI Light"/>
                <w:b w:val="0"/>
                <w:sz w:val="18"/>
              </w:rPr>
              <w:t>+5.8 pp</w:t>
            </w:r>
          </w:p>
        </w:tc>
        <w:tc>
          <w:tcPr>
            <w:tcW w:type="dxa" w:w="1676"/>
            <w:vAlign w:val="center"/>
          </w:tcPr>
          <w:p>
            <w:pPr>
              <w:keepNext w:val="0"/>
              <w:spacing w:after="60" w:before="60"/>
              <w:jc w:val="center"/>
            </w:pPr>
            <w:r>
              <w:rPr>
                <w:rFonts w:ascii="Segoe UI Light" w:hAnsi="Segoe UI Light"/>
                <w:b w:val="0"/>
                <w:sz w:val="18"/>
              </w:rPr>
              <w:t>+4.5 pp</w:t>
            </w:r>
          </w:p>
        </w:tc>
        <w:tc>
          <w:tcPr>
            <w:tcW w:type="dxa" w:w="1676"/>
            <w:vAlign w:val="center"/>
          </w:tcPr>
          <w:p>
            <w:pPr>
              <w:keepNext w:val="0"/>
              <w:spacing w:after="60" w:before="60"/>
              <w:jc w:val="center"/>
            </w:pPr>
            <w:r>
              <w:rPr>
                <w:rFonts w:ascii="Segoe UI Light" w:hAnsi="Segoe UI Light"/>
                <w:b w:val="0"/>
                <w:sz w:val="18"/>
              </w:rPr>
              <w:t>+3.4 pp</w:t>
            </w:r>
          </w:p>
        </w:tc>
        <w:tc>
          <w:tcPr>
            <w:tcW w:type="dxa" w:w="1676"/>
            <w:vAlign w:val="center"/>
          </w:tcPr>
          <w:p>
            <w:pPr>
              <w:keepNext w:val="0"/>
              <w:spacing w:after="60" w:before="60"/>
              <w:jc w:val="center"/>
            </w:pPr>
            <w:r>
              <w:rPr>
                <w:rFonts w:ascii="Segoe UI Light" w:hAnsi="Segoe UI Light"/>
                <w:b w:val="0"/>
                <w:sz w:val="18"/>
              </w:rPr>
              <w:t>+13.8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Emotional Demand</w:t>
              <w:br/>
              <w:t>Scenario state: L</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+7.9 pp</w:t>
            </w:r>
          </w:p>
        </w:tc>
        <w:tc>
          <w:tcPr>
            <w:tcW w:type="dxa" w:w="1676"/>
            <w:shd w:fill="F1F5F9" w:val="clear"/>
            <w:vAlign w:val="center"/>
          </w:tcPr>
          <w:p>
            <w:pPr>
              <w:keepNext w:val="0"/>
              <w:spacing w:after="60" w:before="60"/>
              <w:jc w:val="center"/>
            </w:pPr>
            <w:r>
              <w:rPr>
                <w:rFonts w:ascii="Segoe UI Light" w:hAnsi="Segoe UI Light"/>
                <w:b w:val="0"/>
                <w:sz w:val="18"/>
              </w:rPr>
              <w:t>+3.5 pp</w:t>
            </w:r>
          </w:p>
        </w:tc>
        <w:tc>
          <w:tcPr>
            <w:tcW w:type="dxa" w:w="1676"/>
            <w:shd w:fill="F1F5F9" w:val="clear"/>
            <w:vAlign w:val="center"/>
          </w:tcPr>
          <w:p>
            <w:pPr>
              <w:keepNext w:val="0"/>
              <w:spacing w:after="60" w:before="60"/>
              <w:jc w:val="center"/>
            </w:pPr>
            <w:r>
              <w:rPr>
                <w:rFonts w:ascii="Segoe UI Light" w:hAnsi="Segoe UI Light"/>
                <w:b w:val="0"/>
                <w:sz w:val="18"/>
              </w:rPr>
              <w:t>+11.4 points</w:t>
            </w:r>
          </w:p>
        </w:tc>
      </w:tr>
      <w:tr>
        <w:trPr>
          <w:cantSplit/>
        </w:trPr>
        <w:tc>
          <w:tcPr>
            <w:tcW w:type="dxa" w:w="2934"/>
            <w:vAlign w:val="center"/>
          </w:tcPr>
          <w:p>
            <w:pPr>
              <w:keepNext w:val="0"/>
              <w:spacing w:after="60" w:before="60"/>
              <w:jc w:val="left"/>
            </w:pPr>
            <w:r>
              <w:rPr>
                <w:rFonts w:ascii="Segoe UI Light" w:hAnsi="Segoe UI Light"/>
                <w:b w:val="0"/>
                <w:sz w:val="18"/>
              </w:rPr>
              <w:t>Supervisor Support</w:t>
              <w:br/>
              <w:t>Scenario state: H</w:t>
            </w:r>
          </w:p>
        </w:tc>
        <w:tc>
          <w:tcPr>
            <w:tcW w:type="dxa" w:w="1676"/>
            <w:vAlign w:val="center"/>
          </w:tcPr>
          <w:p>
            <w:pPr>
              <w:keepNext w:val="0"/>
              <w:spacing w:after="60" w:before="60"/>
              <w:jc w:val="center"/>
            </w:pPr>
            <w:r>
              <w:rPr>
                <w:rFonts w:ascii="Segoe UI Light" w:hAnsi="Segoe UI Light"/>
                <w:b w:val="0"/>
                <w:sz w:val="18"/>
              </w:rPr>
              <w:t>+5.5 pp</w:t>
            </w:r>
          </w:p>
        </w:tc>
        <w:tc>
          <w:tcPr>
            <w:tcW w:type="dxa" w:w="1676"/>
            <w:vAlign w:val="center"/>
          </w:tcPr>
          <w:p>
            <w:pPr>
              <w:keepNext w:val="0"/>
              <w:spacing w:after="60" w:before="60"/>
              <w:jc w:val="center"/>
            </w:pPr>
            <w:r>
              <w:rPr>
                <w:rFonts w:ascii="Segoe UI Light" w:hAnsi="Segoe UI Light"/>
                <w:b w:val="0"/>
                <w:sz w:val="18"/>
              </w:rPr>
              <w:t>+2.6 pp</w:t>
            </w:r>
          </w:p>
        </w:tc>
        <w:tc>
          <w:tcPr>
            <w:tcW w:type="dxa" w:w="1676"/>
            <w:vAlign w:val="center"/>
          </w:tcPr>
          <w:p>
            <w:pPr>
              <w:keepNext w:val="0"/>
              <w:spacing w:after="60" w:before="60"/>
              <w:jc w:val="center"/>
            </w:pPr>
            <w:r>
              <w:rPr>
                <w:rFonts w:ascii="Segoe UI Light" w:hAnsi="Segoe UI Light"/>
                <w:b w:val="0"/>
                <w:sz w:val="18"/>
              </w:rPr>
              <w:t>+2.0 pp</w:t>
            </w:r>
          </w:p>
        </w:tc>
        <w:tc>
          <w:tcPr>
            <w:tcW w:type="dxa" w:w="1676"/>
            <w:vAlign w:val="center"/>
          </w:tcPr>
          <w:p>
            <w:pPr>
              <w:keepNext w:val="0"/>
              <w:spacing w:after="60" w:before="60"/>
              <w:jc w:val="center"/>
            </w:pPr>
            <w:r>
              <w:rPr>
                <w:rFonts w:ascii="Segoe UI Light" w:hAnsi="Segoe UI Light"/>
                <w:b w:val="0"/>
                <w:sz w:val="18"/>
              </w:rPr>
              <w:t>+10.1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Psychological Safety</w:t>
              <w:br/>
              <w:t>Scenario state: H</w:t>
            </w:r>
          </w:p>
        </w:tc>
        <w:tc>
          <w:tcPr>
            <w:tcW w:type="dxa" w:w="1676"/>
            <w:shd w:fill="F1F5F9" w:val="clear"/>
            <w:vAlign w:val="center"/>
          </w:tcPr>
          <w:p>
            <w:pPr>
              <w:keepNext w:val="0"/>
              <w:spacing w:after="60" w:before="60"/>
              <w:jc w:val="center"/>
            </w:pPr>
            <w:r>
              <w:rPr>
                <w:rFonts w:ascii="Segoe UI Light" w:hAnsi="Segoe UI Light"/>
                <w:b w:val="0"/>
                <w:sz w:val="18"/>
              </w:rPr>
              <w:t>+3.2 pp</w:t>
            </w:r>
          </w:p>
        </w:tc>
        <w:tc>
          <w:tcPr>
            <w:tcW w:type="dxa" w:w="1676"/>
            <w:shd w:fill="F1F5F9" w:val="clear"/>
            <w:vAlign w:val="center"/>
          </w:tcPr>
          <w:p>
            <w:pPr>
              <w:keepNext w:val="0"/>
              <w:spacing w:after="60" w:before="60"/>
              <w:jc w:val="center"/>
            </w:pPr>
            <w:r>
              <w:rPr>
                <w:rFonts w:ascii="Segoe UI Light" w:hAnsi="Segoe UI Light"/>
                <w:b w:val="0"/>
                <w:sz w:val="18"/>
              </w:rPr>
              <w:t>+1.9 pp</w:t>
            </w:r>
          </w:p>
        </w:tc>
        <w:tc>
          <w:tcPr>
            <w:tcW w:type="dxa" w:w="1676"/>
            <w:shd w:fill="F1F5F9" w:val="clear"/>
            <w:vAlign w:val="center"/>
          </w:tcPr>
          <w:p>
            <w:pPr>
              <w:keepNext w:val="0"/>
              <w:spacing w:after="60" w:before="60"/>
              <w:jc w:val="center"/>
            </w:pPr>
            <w:r>
              <w:rPr>
                <w:rFonts w:ascii="Segoe UI Light" w:hAnsi="Segoe UI Light"/>
                <w:b w:val="0"/>
                <w:sz w:val="18"/>
              </w:rPr>
              <w:t>+1.7 pp</w:t>
            </w:r>
          </w:p>
        </w:tc>
        <w:tc>
          <w:tcPr>
            <w:tcW w:type="dxa" w:w="1676"/>
            <w:shd w:fill="F1F5F9" w:val="clear"/>
            <w:vAlign w:val="center"/>
          </w:tcPr>
          <w:p>
            <w:pPr>
              <w:keepNext w:val="0"/>
              <w:spacing w:after="60" w:before="60"/>
              <w:jc w:val="center"/>
            </w:pPr>
            <w:r>
              <w:rPr>
                <w:rFonts w:ascii="Segoe UI Light" w:hAnsi="Segoe UI Light"/>
                <w:b w:val="0"/>
                <w:sz w:val="18"/>
              </w:rPr>
              <w:t>+6.8 points</w:t>
            </w:r>
          </w:p>
        </w:tc>
      </w:tr>
      <w:tr>
        <w:trPr>
          <w:cantSplit/>
        </w:trPr>
        <w:tc>
          <w:tcPr>
            <w:tcW w:type="dxa" w:w="2934"/>
            <w:vAlign w:val="center"/>
          </w:tcPr>
          <w:p>
            <w:pPr>
              <w:keepNext w:val="0"/>
              <w:spacing w:after="60" w:before="60"/>
              <w:jc w:val="left"/>
            </w:pPr>
            <w:r>
              <w:rPr>
                <w:rFonts w:ascii="Segoe UI Light" w:hAnsi="Segoe UI Light"/>
                <w:b w:val="0"/>
                <w:sz w:val="18"/>
              </w:rPr>
              <w:t>Change Consultation</w:t>
              <w:br/>
              <w:t>Scenario state: H</w:t>
            </w:r>
          </w:p>
        </w:tc>
        <w:tc>
          <w:tcPr>
            <w:tcW w:type="dxa" w:w="1676"/>
            <w:vAlign w:val="center"/>
          </w:tcPr>
          <w:p>
            <w:pPr>
              <w:keepNext w:val="0"/>
              <w:spacing w:after="60" w:before="60"/>
              <w:jc w:val="center"/>
            </w:pPr>
            <w:r>
              <w:rPr>
                <w:rFonts w:ascii="Segoe UI Light" w:hAnsi="Segoe UI Light"/>
                <w:b w:val="0"/>
                <w:sz w:val="18"/>
              </w:rPr>
              <w:t>+3.1 pp</w:t>
            </w:r>
          </w:p>
        </w:tc>
        <w:tc>
          <w:tcPr>
            <w:tcW w:type="dxa" w:w="1676"/>
            <w:vAlign w:val="center"/>
          </w:tcPr>
          <w:p>
            <w:pPr>
              <w:keepNext w:val="0"/>
              <w:spacing w:after="60" w:before="60"/>
              <w:jc w:val="center"/>
            </w:pPr>
            <w:r>
              <w:rPr>
                <w:rFonts w:ascii="Segoe UI Light" w:hAnsi="Segoe UI Light"/>
                <w:b w:val="0"/>
                <w:sz w:val="18"/>
              </w:rPr>
              <w:t>+1.5 pp</w:t>
            </w:r>
          </w:p>
        </w:tc>
        <w:tc>
          <w:tcPr>
            <w:tcW w:type="dxa" w:w="1676"/>
            <w:vAlign w:val="center"/>
          </w:tcPr>
          <w:p>
            <w:pPr>
              <w:keepNext w:val="0"/>
              <w:spacing w:after="60" w:before="60"/>
              <w:jc w:val="center"/>
            </w:pPr>
            <w:r>
              <w:rPr>
                <w:rFonts w:ascii="Segoe UI Light" w:hAnsi="Segoe UI Light"/>
                <w:b w:val="0"/>
                <w:sz w:val="18"/>
              </w:rPr>
              <w:t>+2.2 pp</w:t>
            </w:r>
          </w:p>
        </w:tc>
        <w:tc>
          <w:tcPr>
            <w:tcW w:type="dxa" w:w="1676"/>
            <w:vAlign w:val="center"/>
          </w:tcPr>
          <w:p>
            <w:pPr>
              <w:keepNext w:val="0"/>
              <w:spacing w:after="60" w:before="60"/>
              <w:jc w:val="center"/>
            </w:pPr>
            <w:r>
              <w:rPr>
                <w:rFonts w:ascii="Segoe UI Light" w:hAnsi="Segoe UI Light"/>
                <w:b w:val="0"/>
                <w:sz w:val="18"/>
              </w:rPr>
              <w:t>+6.7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Development Growth</w:t>
              <w:br/>
              <w:t>Scenario state: H</w:t>
            </w:r>
          </w:p>
        </w:tc>
        <w:tc>
          <w:tcPr>
            <w:tcW w:type="dxa" w:w="1676"/>
            <w:shd w:fill="F1F5F9" w:val="clear"/>
            <w:vAlign w:val="center"/>
          </w:tcPr>
          <w:p>
            <w:pPr>
              <w:keepNext w:val="0"/>
              <w:spacing w:after="60" w:before="60"/>
              <w:jc w:val="center"/>
            </w:pPr>
            <w:r>
              <w:rPr>
                <w:rFonts w:ascii="Segoe UI Light" w:hAnsi="Segoe UI Light"/>
                <w:b w:val="0"/>
                <w:sz w:val="18"/>
              </w:rPr>
              <w:t>+3.8 pp</w:t>
            </w:r>
          </w:p>
        </w:tc>
        <w:tc>
          <w:tcPr>
            <w:tcW w:type="dxa" w:w="1676"/>
            <w:shd w:fill="F1F5F9" w:val="clear"/>
            <w:vAlign w:val="center"/>
          </w:tcPr>
          <w:p>
            <w:pPr>
              <w:keepNext w:val="0"/>
              <w:spacing w:after="60" w:before="60"/>
              <w:jc w:val="center"/>
            </w:pPr>
            <w:r>
              <w:rPr>
                <w:rFonts w:ascii="Segoe UI Light" w:hAnsi="Segoe UI Light"/>
                <w:b w:val="0"/>
                <w:sz w:val="18"/>
              </w:rPr>
              <w:t>+0.5 pp</w:t>
            </w:r>
          </w:p>
        </w:tc>
        <w:tc>
          <w:tcPr>
            <w:tcW w:type="dxa" w:w="1676"/>
            <w:shd w:fill="F1F5F9" w:val="clear"/>
            <w:vAlign w:val="center"/>
          </w:tcPr>
          <w:p>
            <w:pPr>
              <w:keepNext w:val="0"/>
              <w:spacing w:after="60" w:before="60"/>
              <w:jc w:val="center"/>
            </w:pPr>
            <w:r>
              <w:rPr>
                <w:rFonts w:ascii="Segoe UI Light" w:hAnsi="Segoe UI Light"/>
                <w:b w:val="0"/>
                <w:sz w:val="18"/>
              </w:rPr>
              <w:t>+1.0 pp</w:t>
            </w:r>
          </w:p>
        </w:tc>
        <w:tc>
          <w:tcPr>
            <w:tcW w:type="dxa" w:w="1676"/>
            <w:shd w:fill="F1F5F9" w:val="clear"/>
            <w:vAlign w:val="center"/>
          </w:tcPr>
          <w:p>
            <w:pPr>
              <w:keepNext w:val="0"/>
              <w:spacing w:after="60" w:before="60"/>
              <w:jc w:val="center"/>
            </w:pPr>
            <w:r>
              <w:rPr>
                <w:rFonts w:ascii="Segoe UI Light" w:hAnsi="Segoe UI Light"/>
                <w:b w:val="0"/>
                <w:sz w:val="18"/>
              </w:rPr>
              <w:t>+5.4 points</w:t>
            </w:r>
          </w:p>
        </w:tc>
      </w:tr>
      <w:tr>
        <w:trPr>
          <w:cantSplit/>
        </w:trPr>
        <w:tc>
          <w:tcPr>
            <w:tcW w:type="dxa" w:w="2934"/>
            <w:vAlign w:val="center"/>
          </w:tcPr>
          <w:p>
            <w:pPr>
              <w:keepNext w:val="0"/>
              <w:spacing w:after="60" w:before="60"/>
              <w:jc w:val="left"/>
            </w:pPr>
            <w:r>
              <w:rPr>
                <w:rFonts w:ascii="Segoe UI Light" w:hAnsi="Segoe UI Light"/>
                <w:b w:val="0"/>
                <w:sz w:val="18"/>
              </w:rPr>
              <w:t>Job Insecurity</w:t>
              <w:br/>
              <w:t>Scenario state: L</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+4.3 pp</w:t>
            </w:r>
          </w:p>
        </w:tc>
        <w:tc>
          <w:tcPr>
            <w:tcW w:type="dxa" w:w="1676"/>
            <w:vAlign w:val="center"/>
          </w:tcPr>
          <w:p>
            <w:pPr>
              <w:keepNext w:val="0"/>
              <w:spacing w:after="60" w:before="60"/>
              <w:jc w:val="center"/>
            </w:pPr>
            <w:r>
              <w:rPr>
                <w:rFonts w:ascii="Segoe UI Light" w:hAnsi="Segoe UI Light"/>
                <w:b w:val="0"/>
                <w:sz w:val="18"/>
              </w:rPr>
              <w:t>+4.3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Coworker Support</w:t>
              <w:br/>
              <w:t>Scenario state: H</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points</w:t>
            </w:r>
          </w:p>
        </w:tc>
      </w:tr>
      <w:tr>
        <w:trPr>
          <w:cantSplit/>
        </w:trPr>
        <w:tc>
          <w:tcPr>
            <w:tcW w:type="dxa" w:w="2934"/>
            <w:vAlign w:val="center"/>
          </w:tcPr>
          <w:p>
            <w:pPr>
              <w:keepNext w:val="0"/>
              <w:spacing w:after="60" w:before="60"/>
              <w:jc w:val="left"/>
            </w:pPr>
            <w:r>
              <w:rPr>
                <w:rFonts w:ascii="Segoe UI Light" w:hAnsi="Segoe UI Light"/>
                <w:b w:val="0"/>
                <w:sz w:val="18"/>
              </w:rPr>
              <w:t>Job Control</w:t>
              <w:br/>
              <w:t>Scenario state: H</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Role Ambiguity</w:t>
              <w:br/>
              <w:t>Scenario state: L</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points</w:t>
            </w:r>
          </w:p>
        </w:tc>
      </w:tr>
      <w:tr>
        <w:trPr>
          <w:cantSplit/>
        </w:trPr>
        <w:tc>
          <w:tcPr>
            <w:tcW w:type="dxa" w:w="2934"/>
            <w:vAlign w:val="center"/>
          </w:tcPr>
          <w:p>
            <w:pPr>
              <w:keepNext w:val="0"/>
              <w:spacing w:after="60" w:before="60"/>
              <w:jc w:val="left"/>
            </w:pPr>
            <w:r>
              <w:rPr>
                <w:rFonts w:ascii="Segoe UI Light" w:hAnsi="Segoe UI Light"/>
                <w:b w:val="0"/>
                <w:sz w:val="18"/>
              </w:rPr>
              <w:t>Role Conflict</w:t>
              <w:br/>
              <w:t>Scenario state: L</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pp</w:t>
            </w:r>
          </w:p>
        </w:tc>
        <w:tc>
          <w:tcPr>
            <w:tcW w:type="dxa" w:w="1676"/>
            <w:vAlign w:val="center"/>
          </w:tcPr>
          <w:p>
            <w:pPr>
              <w:keepNext w:val="0"/>
              <w:spacing w:after="60" w:before="60"/>
              <w:jc w:val="center"/>
            </w:pPr>
            <w:r>
              <w:rPr>
                <w:rFonts w:ascii="Segoe UI Light" w:hAnsi="Segoe UI Light"/>
                <w:b w:val="0"/>
                <w:sz w:val="18"/>
              </w:rPr>
              <w:t>+0.0 points</w:t>
            </w:r>
          </w:p>
        </w:tc>
      </w:tr>
      <w:tr>
        <w:trPr>
          <w:cantSplit/>
        </w:trPr>
        <w:tc>
          <w:tcPr>
            <w:tcW w:type="dxa" w:w="2934"/>
            <w:shd w:fill="F1F5F9" w:val="clear"/>
            <w:vAlign w:val="center"/>
          </w:tcPr>
          <w:p>
            <w:pPr>
              <w:keepNext w:val="0"/>
              <w:spacing w:after="60" w:before="60"/>
              <w:jc w:val="left"/>
            </w:pPr>
            <w:r>
              <w:rPr>
                <w:rFonts w:ascii="Segoe UI Light" w:hAnsi="Segoe UI Light"/>
                <w:b w:val="0"/>
                <w:sz w:val="18"/>
              </w:rPr>
              <w:t>Workplace Relationships</w:t>
              <w:br/>
              <w:t>Scenario state: H</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pp</w:t>
            </w:r>
          </w:p>
        </w:tc>
        <w:tc>
          <w:tcPr>
            <w:tcW w:type="dxa" w:w="1676"/>
            <w:shd w:fill="F1F5F9" w:val="clear"/>
            <w:vAlign w:val="center"/>
          </w:tcPr>
          <w:p>
            <w:pPr>
              <w:keepNext w:val="0"/>
              <w:spacing w:after="60" w:before="60"/>
              <w:jc w:val="center"/>
            </w:pPr>
            <w:r>
              <w:rPr>
                <w:rFonts w:ascii="Segoe UI Light" w:hAnsi="Segoe UI Light"/>
                <w:b w:val="0"/>
                <w:sz w:val="18"/>
              </w:rPr>
              <w:t>+0.0 points</w:t>
            </w:r>
          </w:p>
        </w:tc>
      </w:tr>
      <w:tr>
        <w:trPr>
          <w:cantSplit/>
        </w:trPr>
        <w:tc>
          <w:tcPr>
            <w:tcW w:type="dxa" w:w="2934"/>
            <w:vAlign w:val="center"/>
          </w:tcPr>
          <w:p>
            <w:pPr>
              <w:keepNext w:val="0"/>
              <w:spacing w:after="60" w:before="60"/>
              <w:jc w:val="left"/>
            </w:pPr>
            <w:r>
              <w:rPr>
                <w:rFonts w:ascii="Segoe UI Light" w:hAnsi="Segoe UI Light"/>
                <w:b w:val="0"/>
                <w:sz w:val="18"/>
              </w:rPr>
              <w:t>Cognitive Demand</w:t>
              <w:br/>
              <w:t>Scenario state: L</w:t>
            </w:r>
          </w:p>
        </w:tc>
        <w:tc>
          <w:tcPr>
            <w:tcW w:type="dxa" w:w="1676"/>
            <w:vAlign w:val="center"/>
          </w:tcPr>
          <w:p>
            <w:pPr>
              <w:keepNext w:val="0"/>
              <w:spacing w:after="60" w:before="60"/>
              <w:jc w:val="center"/>
            </w:pPr>
            <w:r>
              <w:rPr>
                <w:rFonts w:ascii="Segoe UI Light" w:hAnsi="Segoe UI Light"/>
                <w:b w:val="0"/>
                <w:sz w:val="18"/>
              </w:rPr>
              <w:t>-18.4 pp</w:t>
            </w:r>
          </w:p>
        </w:tc>
        <w:tc>
          <w:tcPr>
            <w:tcW w:type="dxa" w:w="1676"/>
            <w:vAlign w:val="center"/>
          </w:tcPr>
          <w:p>
            <w:pPr>
              <w:keepNext w:val="0"/>
              <w:spacing w:after="60" w:before="60"/>
              <w:jc w:val="center"/>
            </w:pPr>
            <w:r>
              <w:rPr>
                <w:rFonts w:ascii="Segoe UI Light" w:hAnsi="Segoe UI Light"/>
                <w:b w:val="0"/>
                <w:sz w:val="18"/>
              </w:rPr>
              <w:t>-4.3 pp</w:t>
            </w:r>
          </w:p>
        </w:tc>
        <w:tc>
          <w:tcPr>
            <w:tcW w:type="dxa" w:w="1676"/>
            <w:vAlign w:val="center"/>
          </w:tcPr>
          <w:p>
            <w:pPr>
              <w:keepNext w:val="0"/>
              <w:spacing w:after="60" w:before="60"/>
              <w:jc w:val="center"/>
            </w:pPr>
            <w:r>
              <w:rPr>
                <w:rFonts w:ascii="Segoe UI Light" w:hAnsi="Segoe UI Light"/>
                <w:b w:val="0"/>
                <w:sz w:val="18"/>
              </w:rPr>
              <w:t>-1.5 pp</w:t>
            </w:r>
          </w:p>
        </w:tc>
        <w:tc>
          <w:tcPr>
            <w:tcW w:type="dxa" w:w="1676"/>
            <w:vAlign w:val="center"/>
          </w:tcPr>
          <w:p>
            <w:pPr>
              <w:keepNext w:val="0"/>
              <w:spacing w:after="60" w:before="60"/>
              <w:jc w:val="center"/>
            </w:pPr>
            <w:r>
              <w:rPr>
                <w:rFonts w:ascii="Segoe UI Light" w:hAnsi="Segoe UI Light"/>
                <w:b w:val="0"/>
                <w:sz w:val="18"/>
              </w:rPr>
              <w:t>-24.3 points</w:t>
            </w:r>
          </w:p>
        </w:tc>
      </w:tr>
    </w:tbl>
    <w:p>
      <w:bookmarkStart w:id="17" w:name="_PWToc17"/>
      <w:pPr>
        <w:pStyle w:val="Heading2"/>
        <w:pageBreakBefore/>
      </w:pPr>
      <w:r>
        <w:rPr>
          <w:rFonts w:ascii="Segoe UI Light" w:hAnsi="Segoe UI Light"/>
          <w:b/>
          <w:color w:val="2D5A8E"/>
          <w:sz w:val="22"/>
        </w:rPr>
        <w:t>A4 – Combined Scenarios: Factors Moved Together</w:t>
      </w:r>
      <w:bookmarkEnd w:id="17"/>
    </w:p>
    <w:p>
      <w:pPr>
        <w:spacing w:after="160"/>
      </w:pPr>
      <w:r>
        <w:rPr>
          <w:rFonts w:ascii="Segoe UI Light" w:hAnsi="Segoe UI Light"/>
          <w:color w:val="64748B"/>
          <w:sz w:val="20"/>
        </w:rPr>
        <w:t>These scenarios compare several changes together with the starting model. Their joint effect may be larger or smaller than the sum of separate comparisons. The calculation alone does not establish why, how quickly benefits would appear, or whether an action is feasible. Read each outcome separately.</w:t>
      </w:r>
    </w:p>
    <w:p>
      <w:pPr>
        <w:pStyle w:val="Heading3"/>
      </w:pPr>
      <w:r>
        <w:rPr>
          <w:rFonts w:ascii="Segoe UI Light" w:hAnsi="Segoe UI Light"/>
          <w:b/>
          <w:color w:val="2D5A8E"/>
          <w:sz w:val="21"/>
        </w:rPr>
        <w:t>Top combined scenarios: Work Engagement</w:t>
      </w:r>
    </w:p>
    <w:p>
      <w:pPr>
        <w:spacing w:after="160"/>
      </w:pPr>
      <w:r>
        <w:rPr>
          <w:rFonts w:ascii="Segoe UI Light" w:hAnsi="Segoe UI Light"/>
          <w:color w:val="64748B"/>
          <w:sz w:val="20"/>
        </w:rPr>
        <w:t>H (favourable). Up to five supplied combinations, ranked by this outcome's change rather than the summed score. This is not an exhaustive search of all possible changes.</w:t>
      </w:r>
    </w:p>
    <w:tbl>
      <w:tblPr>
        <w:tblStyle w:val="TableGrid"/>
        <w:tblLayout w:type="fixed"/>
        <w:tblLook w:firstColumn="1" w:firstRow="1" w:lastColumn="0" w:lastRow="0" w:noHBand="0" w:noVBand="1" w:val="04A0"/>
        <w:tblW w:w="5000" w:type="pct"/>
      </w:tblPr>
      <w:tblGrid>
        <w:gridCol w:w="4535"/>
        <w:gridCol w:w="1700"/>
        <w:gridCol w:w="1700"/>
        <w:gridCol w:w="1700"/>
      </w:tblGrid>
      <w:tr>
        <w:trPr>
          <w:tblHeader/>
          <w:cantSplit/>
        </w:trPr>
        <w:tc>
          <w:tcPr>
            <w:tcW w:type="dxa" w:w="4535"/>
            <w:shd w:fill="1E3A5F" w:val="clear"/>
            <w:vAlign w:val="center"/>
          </w:tcPr>
          <w:p>
            <w:pPr>
              <w:keepNext/>
              <w:spacing w:after="60" w:before="60"/>
              <w:jc w:val="left"/>
            </w:pPr>
            <w:r>
              <w:rPr>
                <w:rFonts w:ascii="Segoe UI Light" w:hAnsi="Segoe UI Light"/>
                <w:b/>
                <w:color w:val="FFFFFF"/>
                <w:sz w:val="18"/>
              </w:rPr>
              <w:t>Factors compared together</w:t>
            </w:r>
          </w:p>
        </w:tc>
        <w:tc>
          <w:tcPr>
            <w:tcW w:type="dxa" w:w="1700"/>
            <w:shd w:fill="1E3A5F" w:val="clear"/>
            <w:vAlign w:val="center"/>
          </w:tcPr>
          <w:p>
            <w:pPr>
              <w:keepNext/>
              <w:spacing w:after="60" w:before="60"/>
              <w:jc w:val="left"/>
            </w:pPr>
            <w:r>
              <w:rPr>
                <w:rFonts w:ascii="Segoe UI Light" w:hAnsi="Segoe UI Light"/>
                <w:b/>
                <w:color w:val="FFFFFF"/>
                <w:sz w:val="18"/>
              </w:rPr>
              <w:t>Starting share</w:t>
            </w:r>
          </w:p>
        </w:tc>
        <w:tc>
          <w:tcPr>
            <w:tcW w:type="dxa" w:w="1700"/>
            <w:shd w:fill="1E3A5F" w:val="clear"/>
            <w:vAlign w:val="center"/>
          </w:tcPr>
          <w:p>
            <w:pPr>
              <w:keepNext/>
              <w:spacing w:after="60" w:before="60"/>
              <w:jc w:val="left"/>
            </w:pPr>
            <w:r>
              <w:rPr>
                <w:rFonts w:ascii="Segoe UI Light" w:hAnsi="Segoe UI Light"/>
                <w:b/>
                <w:color w:val="FFFFFF"/>
                <w:sz w:val="18"/>
              </w:rPr>
              <w:t>Scenario share</w:t>
            </w:r>
          </w:p>
        </w:tc>
        <w:tc>
          <w:tcPr>
            <w:tcW w:type="dxa" w:w="1700"/>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4535"/>
            <w:vAlign w:val="center"/>
          </w:tcPr>
          <w:p>
            <w:pPr>
              <w:keepNext/>
              <w:spacing w:after="60" w:before="60"/>
              <w:jc w:val="left"/>
            </w:pPr>
            <w:r>
              <w:rPr>
                <w:rFonts w:ascii="Segoe UI Light" w:hAnsi="Segoe UI Light"/>
                <w:b w:val="0"/>
                <w:sz w:val="18"/>
              </w:rPr>
              <w:t>Work Life Conflict (L) + Recognition (H) + Meaningful Work (H)</w:t>
            </w:r>
          </w:p>
        </w:tc>
        <w:tc>
          <w:tcPr>
            <w:tcW w:type="dxa" w:w="1700"/>
            <w:vAlign w:val="center"/>
          </w:tcPr>
          <w:p>
            <w:pPr>
              <w:keepNext/>
              <w:spacing w:after="60" w:before="60"/>
              <w:jc w:val="center"/>
            </w:pPr>
            <w:r>
              <w:rPr>
                <w:rFonts w:ascii="Segoe UI Light" w:hAnsi="Segoe UI Light"/>
                <w:b w:val="0"/>
                <w:sz w:val="18"/>
              </w:rPr>
              <w:t>34.1%</w:t>
            </w:r>
          </w:p>
        </w:tc>
        <w:tc>
          <w:tcPr>
            <w:tcW w:type="dxa" w:w="1700"/>
            <w:vAlign w:val="center"/>
          </w:tcPr>
          <w:p>
            <w:pPr>
              <w:keepNext/>
              <w:spacing w:after="60" w:before="60"/>
              <w:jc w:val="center"/>
            </w:pPr>
            <w:r>
              <w:rPr>
                <w:rFonts w:ascii="Segoe UI Light" w:hAnsi="Segoe UI Light"/>
                <w:b w:val="0"/>
                <w:sz w:val="18"/>
              </w:rPr>
              <w:t>64.0%</w:t>
            </w:r>
          </w:p>
        </w:tc>
        <w:tc>
          <w:tcPr>
            <w:tcW w:type="dxa" w:w="1700"/>
            <w:vAlign w:val="center"/>
          </w:tcPr>
          <w:p>
            <w:pPr>
              <w:keepNext/>
              <w:spacing w:after="60" w:before="60"/>
              <w:jc w:val="center"/>
            </w:pPr>
            <w:r>
              <w:rPr>
                <w:rFonts w:ascii="Segoe UI Light" w:hAnsi="Segoe UI Light"/>
                <w:b w:val="0"/>
                <w:sz w:val="18"/>
              </w:rPr>
              <w:t>+29.8 pp</w:t>
            </w:r>
          </w:p>
        </w:tc>
      </w:tr>
      <w:tr>
        <w:trPr>
          <w:cantSplit/>
        </w:trPr>
        <w:tc>
          <w:tcPr>
            <w:tcW w:type="dxa" w:w="4535"/>
            <w:shd w:fill="F1F5F9" w:val="clear"/>
            <w:vAlign w:val="center"/>
          </w:tcPr>
          <w:p>
            <w:pPr>
              <w:keepNext/>
              <w:spacing w:after="60" w:before="60"/>
              <w:jc w:val="left"/>
            </w:pPr>
            <w:r>
              <w:rPr>
                <w:rFonts w:ascii="Segoe UI Light" w:hAnsi="Segoe UI Light"/>
                <w:b w:val="0"/>
                <w:sz w:val="18"/>
              </w:rPr>
              <w:t>Work Life Conflict (L) + Procedural Justice (H) + Meaningful Work (H)</w:t>
            </w:r>
          </w:p>
        </w:tc>
        <w:tc>
          <w:tcPr>
            <w:tcW w:type="dxa" w:w="1700"/>
            <w:shd w:fill="F1F5F9" w:val="clear"/>
            <w:vAlign w:val="center"/>
          </w:tcPr>
          <w:p>
            <w:pPr>
              <w:keepNext/>
              <w:spacing w:after="60" w:before="60"/>
              <w:jc w:val="center"/>
            </w:pPr>
            <w:r>
              <w:rPr>
                <w:rFonts w:ascii="Segoe UI Light" w:hAnsi="Segoe UI Light"/>
                <w:b w:val="0"/>
                <w:sz w:val="18"/>
              </w:rPr>
              <w:t>34.1%</w:t>
            </w:r>
          </w:p>
        </w:tc>
        <w:tc>
          <w:tcPr>
            <w:tcW w:type="dxa" w:w="1700"/>
            <w:shd w:fill="F1F5F9" w:val="clear"/>
            <w:vAlign w:val="center"/>
          </w:tcPr>
          <w:p>
            <w:pPr>
              <w:keepNext/>
              <w:spacing w:after="60" w:before="60"/>
              <w:jc w:val="center"/>
            </w:pPr>
            <w:r>
              <w:rPr>
                <w:rFonts w:ascii="Segoe UI Light" w:hAnsi="Segoe UI Light"/>
                <w:b w:val="0"/>
                <w:sz w:val="18"/>
              </w:rPr>
              <w:t>58.1%</w:t>
            </w:r>
          </w:p>
        </w:tc>
        <w:tc>
          <w:tcPr>
            <w:tcW w:type="dxa" w:w="1700"/>
            <w:shd w:fill="F1F5F9" w:val="clear"/>
            <w:vAlign w:val="center"/>
          </w:tcPr>
          <w:p>
            <w:pPr>
              <w:keepNext/>
              <w:spacing w:after="60" w:before="60"/>
              <w:jc w:val="center"/>
            </w:pPr>
            <w:r>
              <w:rPr>
                <w:rFonts w:ascii="Segoe UI Light" w:hAnsi="Segoe UI Light"/>
                <w:b w:val="0"/>
                <w:sz w:val="18"/>
              </w:rPr>
              <w:t>+24.0 pp</w:t>
            </w:r>
          </w:p>
        </w:tc>
      </w:tr>
      <w:tr>
        <w:trPr>
          <w:cantSplit/>
        </w:trPr>
        <w:tc>
          <w:tcPr>
            <w:tcW w:type="dxa" w:w="4535"/>
            <w:vAlign w:val="center"/>
          </w:tcPr>
          <w:p>
            <w:pPr>
              <w:keepNext/>
              <w:spacing w:after="60" w:before="60"/>
              <w:jc w:val="left"/>
            </w:pPr>
            <w:r>
              <w:rPr>
                <w:rFonts w:ascii="Segoe UI Light" w:hAnsi="Segoe UI Light"/>
                <w:b w:val="0"/>
                <w:sz w:val="18"/>
              </w:rPr>
              <w:t>Recognition (H) + Meaningful Work (H) + Psychological Safety (H)</w:t>
            </w:r>
          </w:p>
        </w:tc>
        <w:tc>
          <w:tcPr>
            <w:tcW w:type="dxa" w:w="1700"/>
            <w:vAlign w:val="center"/>
          </w:tcPr>
          <w:p>
            <w:pPr>
              <w:keepNext/>
              <w:spacing w:after="60" w:before="60"/>
              <w:jc w:val="center"/>
            </w:pPr>
            <w:r>
              <w:rPr>
                <w:rFonts w:ascii="Segoe UI Light" w:hAnsi="Segoe UI Light"/>
                <w:b w:val="0"/>
                <w:sz w:val="18"/>
              </w:rPr>
              <w:t>34.1%</w:t>
            </w:r>
          </w:p>
        </w:tc>
        <w:tc>
          <w:tcPr>
            <w:tcW w:type="dxa" w:w="1700"/>
            <w:vAlign w:val="center"/>
          </w:tcPr>
          <w:p>
            <w:pPr>
              <w:keepNext/>
              <w:spacing w:after="60" w:before="60"/>
              <w:jc w:val="center"/>
            </w:pPr>
            <w:r>
              <w:rPr>
                <w:rFonts w:ascii="Segoe UI Light" w:hAnsi="Segoe UI Light"/>
                <w:b w:val="0"/>
                <w:sz w:val="18"/>
              </w:rPr>
              <w:t>58.0%</w:t>
            </w:r>
          </w:p>
        </w:tc>
        <w:tc>
          <w:tcPr>
            <w:tcW w:type="dxa" w:w="1700"/>
            <w:vAlign w:val="center"/>
          </w:tcPr>
          <w:p>
            <w:pPr>
              <w:keepNext/>
              <w:spacing w:after="60" w:before="60"/>
              <w:jc w:val="center"/>
            </w:pPr>
            <w:r>
              <w:rPr>
                <w:rFonts w:ascii="Segoe UI Light" w:hAnsi="Segoe UI Light"/>
                <w:b w:val="0"/>
                <w:sz w:val="18"/>
              </w:rPr>
              <w:t>+23.9 pp</w:t>
            </w:r>
          </w:p>
        </w:tc>
      </w:tr>
      <w:tr>
        <w:trPr>
          <w:cantSplit/>
        </w:trPr>
        <w:tc>
          <w:tcPr>
            <w:tcW w:type="dxa" w:w="4535"/>
            <w:shd w:fill="F1F5F9" w:val="clear"/>
            <w:vAlign w:val="center"/>
          </w:tcPr>
          <w:p>
            <w:pPr>
              <w:keepNext/>
              <w:spacing w:after="60" w:before="60"/>
              <w:jc w:val="left"/>
            </w:pPr>
            <w:r>
              <w:rPr>
                <w:rFonts w:ascii="Segoe UI Light" w:hAnsi="Segoe UI Light"/>
                <w:b w:val="0"/>
                <w:sz w:val="18"/>
              </w:rPr>
              <w:t>Work Life Conflict (L) + Supervisor Support (H) + Meaningful Work (H)</w:t>
            </w:r>
          </w:p>
        </w:tc>
        <w:tc>
          <w:tcPr>
            <w:tcW w:type="dxa" w:w="1700"/>
            <w:shd w:fill="F1F5F9" w:val="clear"/>
            <w:vAlign w:val="center"/>
          </w:tcPr>
          <w:p>
            <w:pPr>
              <w:keepNext/>
              <w:spacing w:after="60" w:before="60"/>
              <w:jc w:val="center"/>
            </w:pPr>
            <w:r>
              <w:rPr>
                <w:rFonts w:ascii="Segoe UI Light" w:hAnsi="Segoe UI Light"/>
                <w:b w:val="0"/>
                <w:sz w:val="18"/>
              </w:rPr>
              <w:t>34.1%</w:t>
            </w:r>
          </w:p>
        </w:tc>
        <w:tc>
          <w:tcPr>
            <w:tcW w:type="dxa" w:w="1700"/>
            <w:shd w:fill="F1F5F9" w:val="clear"/>
            <w:vAlign w:val="center"/>
          </w:tcPr>
          <w:p>
            <w:pPr>
              <w:keepNext/>
              <w:spacing w:after="60" w:before="60"/>
              <w:jc w:val="center"/>
            </w:pPr>
            <w:r>
              <w:rPr>
                <w:rFonts w:ascii="Segoe UI Light" w:hAnsi="Segoe UI Light"/>
                <w:b w:val="0"/>
                <w:sz w:val="18"/>
              </w:rPr>
              <w:t>57.8%</w:t>
            </w:r>
          </w:p>
        </w:tc>
        <w:tc>
          <w:tcPr>
            <w:tcW w:type="dxa" w:w="1700"/>
            <w:shd w:fill="F1F5F9" w:val="clear"/>
            <w:vAlign w:val="center"/>
          </w:tcPr>
          <w:p>
            <w:pPr>
              <w:keepNext/>
              <w:spacing w:after="60" w:before="60"/>
              <w:jc w:val="center"/>
            </w:pPr>
            <w:r>
              <w:rPr>
                <w:rFonts w:ascii="Segoe UI Light" w:hAnsi="Segoe UI Light"/>
                <w:b w:val="0"/>
                <w:sz w:val="18"/>
              </w:rPr>
              <w:t>+23.6 pp</w:t>
            </w:r>
          </w:p>
        </w:tc>
      </w:tr>
      <w:tr>
        <w:trPr>
          <w:cantSplit/>
        </w:trPr>
        <w:tc>
          <w:tcPr>
            <w:tcW w:type="dxa" w:w="4535"/>
            <w:vAlign w:val="center"/>
          </w:tcPr>
          <w:p>
            <w:pPr>
              <w:keepNext w:val="0"/>
              <w:spacing w:after="60" w:before="60"/>
              <w:jc w:val="left"/>
            </w:pPr>
            <w:r>
              <w:rPr>
                <w:rFonts w:ascii="Segoe UI Light" w:hAnsi="Segoe UI Light"/>
                <w:b w:val="0"/>
                <w:sz w:val="18"/>
              </w:rPr>
              <w:t>Supervisor Support (H) + Recognition (H) + Meaningful Work (H)</w:t>
            </w:r>
          </w:p>
        </w:tc>
        <w:tc>
          <w:tcPr>
            <w:tcW w:type="dxa" w:w="1700"/>
            <w:vAlign w:val="center"/>
          </w:tcPr>
          <w:p>
            <w:pPr>
              <w:keepNext w:val="0"/>
              <w:spacing w:after="60" w:before="60"/>
              <w:jc w:val="center"/>
            </w:pPr>
            <w:r>
              <w:rPr>
                <w:rFonts w:ascii="Segoe UI Light" w:hAnsi="Segoe UI Light"/>
                <w:b w:val="0"/>
                <w:sz w:val="18"/>
              </w:rPr>
              <w:t>34.1%</w:t>
            </w:r>
          </w:p>
        </w:tc>
        <w:tc>
          <w:tcPr>
            <w:tcW w:type="dxa" w:w="1700"/>
            <w:vAlign w:val="center"/>
          </w:tcPr>
          <w:p>
            <w:pPr>
              <w:keepNext w:val="0"/>
              <w:spacing w:after="60" w:before="60"/>
              <w:jc w:val="center"/>
            </w:pPr>
            <w:r>
              <w:rPr>
                <w:rFonts w:ascii="Segoe UI Light" w:hAnsi="Segoe UI Light"/>
                <w:b w:val="0"/>
                <w:sz w:val="18"/>
              </w:rPr>
              <w:t>57.5%</w:t>
            </w:r>
          </w:p>
        </w:tc>
        <w:tc>
          <w:tcPr>
            <w:tcW w:type="dxa" w:w="1700"/>
            <w:vAlign w:val="center"/>
          </w:tcPr>
          <w:p>
            <w:pPr>
              <w:keepNext w:val="0"/>
              <w:spacing w:after="60" w:before="60"/>
              <w:jc w:val="center"/>
            </w:pPr>
            <w:r>
              <w:rPr>
                <w:rFonts w:ascii="Segoe UI Light" w:hAnsi="Segoe UI Light"/>
                <w:b w:val="0"/>
                <w:sz w:val="18"/>
              </w:rPr>
              <w:t>+23.3 pp</w:t>
            </w:r>
          </w:p>
        </w:tc>
      </w:tr>
    </w:tbl>
    <w:p>
      <w:pPr>
        <w:pStyle w:val="Heading3"/>
      </w:pPr>
      <w:r>
        <w:rPr>
          <w:rFonts w:ascii="Segoe UI Light" w:hAnsi="Segoe UI Light"/>
          <w:b/>
          <w:color w:val="2D5A8E"/>
          <w:sz w:val="21"/>
        </w:rPr>
        <w:t>Top combined scenarios: Burnout</w:t>
      </w:r>
    </w:p>
    <w:p>
      <w:pPr>
        <w:spacing w:after="160"/>
      </w:pPr>
      <w:r>
        <w:rPr>
          <w:rFonts w:ascii="Segoe UI Light" w:hAnsi="Segoe UI Light"/>
          <w:color w:val="64748B"/>
          <w:sz w:val="20"/>
        </w:rPr>
        <w:t>L (favourable). Up to five supplied combinations, ranked by this outcome's change rather than the summed score. This is not an exhaustive search of all possible changes.</w:t>
      </w:r>
    </w:p>
    <w:tbl>
      <w:tblPr>
        <w:tblStyle w:val="TableGrid"/>
        <w:tblLayout w:type="fixed"/>
        <w:tblLook w:firstColumn="1" w:firstRow="1" w:lastColumn="0" w:lastRow="0" w:noHBand="0" w:noVBand="1" w:val="04A0"/>
        <w:tblW w:w="5000" w:type="pct"/>
      </w:tblPr>
      <w:tblGrid>
        <w:gridCol w:w="4535"/>
        <w:gridCol w:w="1700"/>
        <w:gridCol w:w="1700"/>
        <w:gridCol w:w="1700"/>
      </w:tblGrid>
      <w:tr>
        <w:trPr>
          <w:tblHeader/>
          <w:cantSplit/>
        </w:trPr>
        <w:tc>
          <w:tcPr>
            <w:tcW w:type="dxa" w:w="4535"/>
            <w:shd w:fill="1E3A5F" w:val="clear"/>
            <w:vAlign w:val="center"/>
          </w:tcPr>
          <w:p>
            <w:pPr>
              <w:keepNext/>
              <w:spacing w:after="60" w:before="60"/>
              <w:jc w:val="left"/>
            </w:pPr>
            <w:r>
              <w:rPr>
                <w:rFonts w:ascii="Segoe UI Light" w:hAnsi="Segoe UI Light"/>
                <w:b/>
                <w:color w:val="FFFFFF"/>
                <w:sz w:val="18"/>
              </w:rPr>
              <w:t>Factors compared together</w:t>
            </w:r>
          </w:p>
        </w:tc>
        <w:tc>
          <w:tcPr>
            <w:tcW w:type="dxa" w:w="1700"/>
            <w:shd w:fill="1E3A5F" w:val="clear"/>
            <w:vAlign w:val="center"/>
          </w:tcPr>
          <w:p>
            <w:pPr>
              <w:keepNext/>
              <w:spacing w:after="60" w:before="60"/>
              <w:jc w:val="left"/>
            </w:pPr>
            <w:r>
              <w:rPr>
                <w:rFonts w:ascii="Segoe UI Light" w:hAnsi="Segoe UI Light"/>
                <w:b/>
                <w:color w:val="FFFFFF"/>
                <w:sz w:val="18"/>
              </w:rPr>
              <w:t>Starting share</w:t>
            </w:r>
          </w:p>
        </w:tc>
        <w:tc>
          <w:tcPr>
            <w:tcW w:type="dxa" w:w="1700"/>
            <w:shd w:fill="1E3A5F" w:val="clear"/>
            <w:vAlign w:val="center"/>
          </w:tcPr>
          <w:p>
            <w:pPr>
              <w:keepNext/>
              <w:spacing w:after="60" w:before="60"/>
              <w:jc w:val="left"/>
            </w:pPr>
            <w:r>
              <w:rPr>
                <w:rFonts w:ascii="Segoe UI Light" w:hAnsi="Segoe UI Light"/>
                <w:b/>
                <w:color w:val="FFFFFF"/>
                <w:sz w:val="18"/>
              </w:rPr>
              <w:t>Scenario share</w:t>
            </w:r>
          </w:p>
        </w:tc>
        <w:tc>
          <w:tcPr>
            <w:tcW w:type="dxa" w:w="1700"/>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4535"/>
            <w:vAlign w:val="center"/>
          </w:tcPr>
          <w:p>
            <w:pPr>
              <w:keepNext/>
              <w:spacing w:after="60" w:before="60"/>
              <w:jc w:val="left"/>
            </w:pPr>
            <w:r>
              <w:rPr>
                <w:rFonts w:ascii="Segoe UI Light" w:hAnsi="Segoe UI Light"/>
                <w:b w:val="0"/>
                <w:sz w:val="18"/>
              </w:rPr>
              <w:t>Role Overload (L) + Emotional Demand (L) + Meaningful Work (H)</w:t>
            </w:r>
          </w:p>
        </w:tc>
        <w:tc>
          <w:tcPr>
            <w:tcW w:type="dxa" w:w="1700"/>
            <w:vAlign w:val="center"/>
          </w:tcPr>
          <w:p>
            <w:pPr>
              <w:keepNext/>
              <w:spacing w:after="60" w:before="60"/>
              <w:jc w:val="center"/>
            </w:pPr>
            <w:r>
              <w:rPr>
                <w:rFonts w:ascii="Segoe UI Light" w:hAnsi="Segoe UI Light"/>
                <w:b w:val="0"/>
                <w:sz w:val="18"/>
              </w:rPr>
              <w:t>33.3%</w:t>
            </w:r>
          </w:p>
        </w:tc>
        <w:tc>
          <w:tcPr>
            <w:tcW w:type="dxa" w:w="1700"/>
            <w:vAlign w:val="center"/>
          </w:tcPr>
          <w:p>
            <w:pPr>
              <w:keepNext/>
              <w:spacing w:after="60" w:before="60"/>
              <w:jc w:val="center"/>
            </w:pPr>
            <w:r>
              <w:rPr>
                <w:rFonts w:ascii="Segoe UI Light" w:hAnsi="Segoe UI Light"/>
                <w:b w:val="0"/>
                <w:sz w:val="18"/>
              </w:rPr>
              <w:t>66.1%</w:t>
            </w:r>
          </w:p>
        </w:tc>
        <w:tc>
          <w:tcPr>
            <w:tcW w:type="dxa" w:w="1700"/>
            <w:vAlign w:val="center"/>
          </w:tcPr>
          <w:p>
            <w:pPr>
              <w:keepNext/>
              <w:spacing w:after="60" w:before="60"/>
              <w:jc w:val="center"/>
            </w:pPr>
            <w:r>
              <w:rPr>
                <w:rFonts w:ascii="Segoe UI Light" w:hAnsi="Segoe UI Light"/>
                <w:b w:val="0"/>
                <w:sz w:val="18"/>
              </w:rPr>
              <w:t>+32.7 pp</w:t>
            </w:r>
          </w:p>
        </w:tc>
      </w:tr>
      <w:tr>
        <w:trPr>
          <w:cantSplit/>
        </w:trPr>
        <w:tc>
          <w:tcPr>
            <w:tcW w:type="dxa" w:w="4535"/>
            <w:shd w:fill="F1F5F9" w:val="clear"/>
            <w:vAlign w:val="center"/>
          </w:tcPr>
          <w:p>
            <w:pPr>
              <w:keepNext/>
              <w:spacing w:after="60" w:before="60"/>
              <w:jc w:val="left"/>
            </w:pPr>
            <w:r>
              <w:rPr>
                <w:rFonts w:ascii="Segoe UI Light" w:hAnsi="Segoe UI Light"/>
                <w:b w:val="0"/>
                <w:sz w:val="18"/>
              </w:rPr>
              <w:t>Role Overload (L) + Emotional Demand (L) + Recognition (H)</w:t>
            </w:r>
          </w:p>
        </w:tc>
        <w:tc>
          <w:tcPr>
            <w:tcW w:type="dxa" w:w="1700"/>
            <w:shd w:fill="F1F5F9" w:val="clear"/>
            <w:vAlign w:val="center"/>
          </w:tcPr>
          <w:p>
            <w:pPr>
              <w:keepNext/>
              <w:spacing w:after="60" w:before="60"/>
              <w:jc w:val="center"/>
            </w:pPr>
            <w:r>
              <w:rPr>
                <w:rFonts w:ascii="Segoe UI Light" w:hAnsi="Segoe UI Light"/>
                <w:b w:val="0"/>
                <w:sz w:val="18"/>
              </w:rPr>
              <w:t>33.3%</w:t>
            </w:r>
          </w:p>
        </w:tc>
        <w:tc>
          <w:tcPr>
            <w:tcW w:type="dxa" w:w="1700"/>
            <w:shd w:fill="F1F5F9" w:val="clear"/>
            <w:vAlign w:val="center"/>
          </w:tcPr>
          <w:p>
            <w:pPr>
              <w:keepNext/>
              <w:spacing w:after="60" w:before="60"/>
              <w:jc w:val="center"/>
            </w:pPr>
            <w:r>
              <w:rPr>
                <w:rFonts w:ascii="Segoe UI Light" w:hAnsi="Segoe UI Light"/>
                <w:b w:val="0"/>
                <w:sz w:val="18"/>
              </w:rPr>
              <w:t>65.5%</w:t>
            </w:r>
          </w:p>
        </w:tc>
        <w:tc>
          <w:tcPr>
            <w:tcW w:type="dxa" w:w="1700"/>
            <w:shd w:fill="F1F5F9" w:val="clear"/>
            <w:vAlign w:val="center"/>
          </w:tcPr>
          <w:p>
            <w:pPr>
              <w:keepNext/>
              <w:spacing w:after="60" w:before="60"/>
              <w:jc w:val="center"/>
            </w:pPr>
            <w:r>
              <w:rPr>
                <w:rFonts w:ascii="Segoe UI Light" w:hAnsi="Segoe UI Light"/>
                <w:b w:val="0"/>
                <w:sz w:val="18"/>
              </w:rPr>
              <w:t>+32.1 pp</w:t>
            </w:r>
          </w:p>
        </w:tc>
      </w:tr>
      <w:tr>
        <w:trPr>
          <w:cantSplit/>
        </w:trPr>
        <w:tc>
          <w:tcPr>
            <w:tcW w:type="dxa" w:w="4535"/>
            <w:vAlign w:val="center"/>
          </w:tcPr>
          <w:p>
            <w:pPr>
              <w:keepNext/>
              <w:spacing w:after="60" w:before="60"/>
              <w:jc w:val="left"/>
            </w:pPr>
            <w:r>
              <w:rPr>
                <w:rFonts w:ascii="Segoe UI Light" w:hAnsi="Segoe UI Light"/>
                <w:b w:val="0"/>
                <w:sz w:val="18"/>
              </w:rPr>
              <w:t>Role Overload (L) + Emotional Demand (L) + Work Life Conflict (L)</w:t>
            </w:r>
          </w:p>
        </w:tc>
        <w:tc>
          <w:tcPr>
            <w:tcW w:type="dxa" w:w="1700"/>
            <w:vAlign w:val="center"/>
          </w:tcPr>
          <w:p>
            <w:pPr>
              <w:keepNext/>
              <w:spacing w:after="60" w:before="60"/>
              <w:jc w:val="center"/>
            </w:pPr>
            <w:r>
              <w:rPr>
                <w:rFonts w:ascii="Segoe UI Light" w:hAnsi="Segoe UI Light"/>
                <w:b w:val="0"/>
                <w:sz w:val="18"/>
              </w:rPr>
              <w:t>33.3%</w:t>
            </w:r>
          </w:p>
        </w:tc>
        <w:tc>
          <w:tcPr>
            <w:tcW w:type="dxa" w:w="1700"/>
            <w:vAlign w:val="center"/>
          </w:tcPr>
          <w:p>
            <w:pPr>
              <w:keepNext/>
              <w:spacing w:after="60" w:before="60"/>
              <w:jc w:val="center"/>
            </w:pPr>
            <w:r>
              <w:rPr>
                <w:rFonts w:ascii="Segoe UI Light" w:hAnsi="Segoe UI Light"/>
                <w:b w:val="0"/>
                <w:sz w:val="18"/>
              </w:rPr>
              <w:t>64.9%</w:t>
            </w:r>
          </w:p>
        </w:tc>
        <w:tc>
          <w:tcPr>
            <w:tcW w:type="dxa" w:w="1700"/>
            <w:vAlign w:val="center"/>
          </w:tcPr>
          <w:p>
            <w:pPr>
              <w:keepNext/>
              <w:spacing w:after="60" w:before="60"/>
              <w:jc w:val="center"/>
            </w:pPr>
            <w:r>
              <w:rPr>
                <w:rFonts w:ascii="Segoe UI Light" w:hAnsi="Segoe UI Light"/>
                <w:b w:val="0"/>
                <w:sz w:val="18"/>
              </w:rPr>
              <w:t>+31.6 pp</w:t>
            </w:r>
          </w:p>
        </w:tc>
      </w:tr>
      <w:tr>
        <w:trPr>
          <w:cantSplit/>
        </w:trPr>
        <w:tc>
          <w:tcPr>
            <w:tcW w:type="dxa" w:w="4535"/>
            <w:shd w:fill="F1F5F9" w:val="clear"/>
            <w:vAlign w:val="center"/>
          </w:tcPr>
          <w:p>
            <w:pPr>
              <w:keepNext/>
              <w:spacing w:after="60" w:before="60"/>
              <w:jc w:val="left"/>
            </w:pPr>
            <w:r>
              <w:rPr>
                <w:rFonts w:ascii="Segoe UI Light" w:hAnsi="Segoe UI Light"/>
                <w:b w:val="0"/>
                <w:sz w:val="18"/>
              </w:rPr>
              <w:t>Role Overload (L) + Work Life Conflict (L) + Meaningful Work (H)</w:t>
            </w:r>
          </w:p>
        </w:tc>
        <w:tc>
          <w:tcPr>
            <w:tcW w:type="dxa" w:w="1700"/>
            <w:shd w:fill="F1F5F9" w:val="clear"/>
            <w:vAlign w:val="center"/>
          </w:tcPr>
          <w:p>
            <w:pPr>
              <w:keepNext/>
              <w:spacing w:after="60" w:before="60"/>
              <w:jc w:val="center"/>
            </w:pPr>
            <w:r>
              <w:rPr>
                <w:rFonts w:ascii="Segoe UI Light" w:hAnsi="Segoe UI Light"/>
                <w:b w:val="0"/>
                <w:sz w:val="18"/>
              </w:rPr>
              <w:t>33.3%</w:t>
            </w:r>
          </w:p>
        </w:tc>
        <w:tc>
          <w:tcPr>
            <w:tcW w:type="dxa" w:w="1700"/>
            <w:shd w:fill="F1F5F9" w:val="clear"/>
            <w:vAlign w:val="center"/>
          </w:tcPr>
          <w:p>
            <w:pPr>
              <w:keepNext/>
              <w:spacing w:after="60" w:before="60"/>
              <w:jc w:val="center"/>
            </w:pPr>
            <w:r>
              <w:rPr>
                <w:rFonts w:ascii="Segoe UI Light" w:hAnsi="Segoe UI Light"/>
                <w:b w:val="0"/>
                <w:sz w:val="18"/>
              </w:rPr>
              <w:t>64.2%</w:t>
            </w:r>
          </w:p>
        </w:tc>
        <w:tc>
          <w:tcPr>
            <w:tcW w:type="dxa" w:w="1700"/>
            <w:shd w:fill="F1F5F9" w:val="clear"/>
            <w:vAlign w:val="center"/>
          </w:tcPr>
          <w:p>
            <w:pPr>
              <w:keepNext/>
              <w:spacing w:after="60" w:before="60"/>
              <w:jc w:val="center"/>
            </w:pPr>
            <w:r>
              <w:rPr>
                <w:rFonts w:ascii="Segoe UI Light" w:hAnsi="Segoe UI Light"/>
                <w:b w:val="0"/>
                <w:sz w:val="18"/>
              </w:rPr>
              <w:t>+30.8 pp</w:t>
            </w:r>
          </w:p>
        </w:tc>
      </w:tr>
      <w:tr>
        <w:trPr>
          <w:cantSplit/>
        </w:trPr>
        <w:tc>
          <w:tcPr>
            <w:tcW w:type="dxa" w:w="4535"/>
            <w:vAlign w:val="center"/>
          </w:tcPr>
          <w:p>
            <w:pPr>
              <w:keepNext w:val="0"/>
              <w:spacing w:after="60" w:before="60"/>
              <w:jc w:val="left"/>
            </w:pPr>
            <w:r>
              <w:rPr>
                <w:rFonts w:ascii="Segoe UI Light" w:hAnsi="Segoe UI Light"/>
                <w:b w:val="0"/>
                <w:sz w:val="18"/>
              </w:rPr>
              <w:t>Role Overload (L) + Emotional Demand (L) + Procedural Justice (H)</w:t>
            </w:r>
          </w:p>
        </w:tc>
        <w:tc>
          <w:tcPr>
            <w:tcW w:type="dxa" w:w="1700"/>
            <w:vAlign w:val="center"/>
          </w:tcPr>
          <w:p>
            <w:pPr>
              <w:keepNext w:val="0"/>
              <w:spacing w:after="60" w:before="60"/>
              <w:jc w:val="center"/>
            </w:pPr>
            <w:r>
              <w:rPr>
                <w:rFonts w:ascii="Segoe UI Light" w:hAnsi="Segoe UI Light"/>
                <w:b w:val="0"/>
                <w:sz w:val="18"/>
              </w:rPr>
              <w:t>33.3%</w:t>
            </w:r>
          </w:p>
        </w:tc>
        <w:tc>
          <w:tcPr>
            <w:tcW w:type="dxa" w:w="1700"/>
            <w:vAlign w:val="center"/>
          </w:tcPr>
          <w:p>
            <w:pPr>
              <w:keepNext w:val="0"/>
              <w:spacing w:after="60" w:before="60"/>
              <w:jc w:val="center"/>
            </w:pPr>
            <w:r>
              <w:rPr>
                <w:rFonts w:ascii="Segoe UI Light" w:hAnsi="Segoe UI Light"/>
                <w:b w:val="0"/>
                <w:sz w:val="18"/>
              </w:rPr>
              <w:t>63.3%</w:t>
            </w:r>
          </w:p>
        </w:tc>
        <w:tc>
          <w:tcPr>
            <w:tcW w:type="dxa" w:w="1700"/>
            <w:vAlign w:val="center"/>
          </w:tcPr>
          <w:p>
            <w:pPr>
              <w:keepNext w:val="0"/>
              <w:spacing w:after="60" w:before="60"/>
              <w:jc w:val="center"/>
            </w:pPr>
            <w:r>
              <w:rPr>
                <w:rFonts w:ascii="Segoe UI Light" w:hAnsi="Segoe UI Light"/>
                <w:b w:val="0"/>
                <w:sz w:val="18"/>
              </w:rPr>
              <w:t>+30.0 pp</w:t>
            </w:r>
          </w:p>
        </w:tc>
      </w:tr>
    </w:tbl>
    <w:p>
      <w:pPr>
        <w:pStyle w:val="Heading3"/>
      </w:pPr>
      <w:r>
        <w:rPr>
          <w:rFonts w:ascii="Segoe UI Light" w:hAnsi="Segoe UI Light"/>
          <w:b/>
          <w:color w:val="2D5A8E"/>
          <w:sz w:val="21"/>
        </w:rPr>
        <w:t>Top combined scenarios: Psych Distress</w:t>
      </w:r>
    </w:p>
    <w:p>
      <w:pPr>
        <w:spacing w:after="160"/>
      </w:pPr>
      <w:r>
        <w:rPr>
          <w:rFonts w:ascii="Segoe UI Light" w:hAnsi="Segoe UI Light"/>
          <w:color w:val="64748B"/>
          <w:sz w:val="20"/>
        </w:rPr>
        <w:t>L (favourable). Up to five supplied combinations, ranked by this outcome's change rather than the summed score. This is not an exhaustive search of all possible changes.</w:t>
      </w:r>
    </w:p>
    <w:tbl>
      <w:tblPr>
        <w:tblStyle w:val="TableGrid"/>
        <w:tblLayout w:type="fixed"/>
        <w:tblLook w:firstColumn="1" w:firstRow="1" w:lastColumn="0" w:lastRow="0" w:noHBand="0" w:noVBand="1" w:val="04A0"/>
        <w:tblW w:w="5000" w:type="pct"/>
      </w:tblPr>
      <w:tblGrid>
        <w:gridCol w:w="4535"/>
        <w:gridCol w:w="1700"/>
        <w:gridCol w:w="1700"/>
        <w:gridCol w:w="1700"/>
      </w:tblGrid>
      <w:tr>
        <w:trPr>
          <w:tblHeader/>
          <w:cantSplit/>
        </w:trPr>
        <w:tc>
          <w:tcPr>
            <w:tcW w:type="dxa" w:w="4535"/>
            <w:shd w:fill="1E3A5F" w:val="clear"/>
            <w:vAlign w:val="center"/>
          </w:tcPr>
          <w:p>
            <w:pPr>
              <w:keepNext/>
              <w:spacing w:after="60" w:before="60"/>
              <w:jc w:val="left"/>
            </w:pPr>
            <w:r>
              <w:rPr>
                <w:rFonts w:ascii="Segoe UI Light" w:hAnsi="Segoe UI Light"/>
                <w:b/>
                <w:color w:val="FFFFFF"/>
                <w:sz w:val="18"/>
              </w:rPr>
              <w:t>Factors compared together</w:t>
            </w:r>
          </w:p>
        </w:tc>
        <w:tc>
          <w:tcPr>
            <w:tcW w:type="dxa" w:w="1700"/>
            <w:shd w:fill="1E3A5F" w:val="clear"/>
            <w:vAlign w:val="center"/>
          </w:tcPr>
          <w:p>
            <w:pPr>
              <w:keepNext/>
              <w:spacing w:after="60" w:before="60"/>
              <w:jc w:val="left"/>
            </w:pPr>
            <w:r>
              <w:rPr>
                <w:rFonts w:ascii="Segoe UI Light" w:hAnsi="Segoe UI Light"/>
                <w:b/>
                <w:color w:val="FFFFFF"/>
                <w:sz w:val="18"/>
              </w:rPr>
              <w:t>Starting share</w:t>
            </w:r>
          </w:p>
        </w:tc>
        <w:tc>
          <w:tcPr>
            <w:tcW w:type="dxa" w:w="1700"/>
            <w:shd w:fill="1E3A5F" w:val="clear"/>
            <w:vAlign w:val="center"/>
          </w:tcPr>
          <w:p>
            <w:pPr>
              <w:keepNext/>
              <w:spacing w:after="60" w:before="60"/>
              <w:jc w:val="left"/>
            </w:pPr>
            <w:r>
              <w:rPr>
                <w:rFonts w:ascii="Segoe UI Light" w:hAnsi="Segoe UI Light"/>
                <w:b/>
                <w:color w:val="FFFFFF"/>
                <w:sz w:val="18"/>
              </w:rPr>
              <w:t>Scenario share</w:t>
            </w:r>
          </w:p>
        </w:tc>
        <w:tc>
          <w:tcPr>
            <w:tcW w:type="dxa" w:w="1700"/>
            <w:shd w:fill="1E3A5F" w:val="clear"/>
            <w:vAlign w:val="center"/>
          </w:tcPr>
          <w:p>
            <w:pPr>
              <w:keepNext/>
              <w:spacing w:after="60" w:before="60"/>
              <w:jc w:val="left"/>
            </w:pPr>
            <w:r>
              <w:rPr>
                <w:rFonts w:ascii="Segoe UI Light" w:hAnsi="Segoe UI Light"/>
                <w:b/>
                <w:color w:val="FFFFFF"/>
                <w:sz w:val="18"/>
              </w:rPr>
              <w:t>Change (pp)</w:t>
            </w:r>
          </w:p>
        </w:tc>
      </w:tr>
      <w:tr>
        <w:trPr>
          <w:cantSplit/>
        </w:trPr>
        <w:tc>
          <w:tcPr>
            <w:tcW w:type="dxa" w:w="4535"/>
            <w:vAlign w:val="center"/>
          </w:tcPr>
          <w:p>
            <w:pPr>
              <w:keepNext/>
              <w:spacing w:after="60" w:before="60"/>
              <w:jc w:val="left"/>
            </w:pPr>
            <w:r>
              <w:rPr>
                <w:rFonts w:ascii="Segoe UI Light" w:hAnsi="Segoe UI Light"/>
                <w:b w:val="0"/>
                <w:sz w:val="18"/>
              </w:rPr>
              <w:t>Role Overload (L) + Work Life Conflict (L) + Job Insecurity (L)</w:t>
            </w:r>
          </w:p>
        </w:tc>
        <w:tc>
          <w:tcPr>
            <w:tcW w:type="dxa" w:w="1700"/>
            <w:vAlign w:val="center"/>
          </w:tcPr>
          <w:p>
            <w:pPr>
              <w:keepNext/>
              <w:spacing w:after="60" w:before="60"/>
              <w:jc w:val="center"/>
            </w:pPr>
            <w:r>
              <w:rPr>
                <w:rFonts w:ascii="Segoe UI Light" w:hAnsi="Segoe UI Light"/>
                <w:b w:val="0"/>
                <w:sz w:val="18"/>
              </w:rPr>
              <w:t>45.4%</w:t>
            </w:r>
          </w:p>
        </w:tc>
        <w:tc>
          <w:tcPr>
            <w:tcW w:type="dxa" w:w="1700"/>
            <w:vAlign w:val="center"/>
          </w:tcPr>
          <w:p>
            <w:pPr>
              <w:keepNext/>
              <w:spacing w:after="60" w:before="60"/>
              <w:jc w:val="center"/>
            </w:pPr>
            <w:r>
              <w:rPr>
                <w:rFonts w:ascii="Segoe UI Light" w:hAnsi="Segoe UI Light"/>
                <w:b w:val="0"/>
                <w:sz w:val="18"/>
              </w:rPr>
              <w:t>66.8%</w:t>
            </w:r>
          </w:p>
        </w:tc>
        <w:tc>
          <w:tcPr>
            <w:tcW w:type="dxa" w:w="1700"/>
            <w:vAlign w:val="center"/>
          </w:tcPr>
          <w:p>
            <w:pPr>
              <w:keepNext/>
              <w:spacing w:after="60" w:before="60"/>
              <w:jc w:val="center"/>
            </w:pPr>
            <w:r>
              <w:rPr>
                <w:rFonts w:ascii="Segoe UI Light" w:hAnsi="Segoe UI Light"/>
                <w:b w:val="0"/>
                <w:sz w:val="18"/>
              </w:rPr>
              <w:t>+21.4 pp</w:t>
            </w:r>
          </w:p>
        </w:tc>
      </w:tr>
      <w:tr>
        <w:trPr>
          <w:cantSplit/>
        </w:trPr>
        <w:tc>
          <w:tcPr>
            <w:tcW w:type="dxa" w:w="4535"/>
            <w:shd w:fill="F1F5F9" w:val="clear"/>
            <w:vAlign w:val="center"/>
          </w:tcPr>
          <w:p>
            <w:pPr>
              <w:keepNext/>
              <w:spacing w:after="60" w:before="60"/>
              <w:jc w:val="left"/>
            </w:pPr>
            <w:r>
              <w:rPr>
                <w:rFonts w:ascii="Segoe UI Light" w:hAnsi="Segoe UI Light"/>
                <w:b w:val="0"/>
                <w:sz w:val="18"/>
              </w:rPr>
              <w:t>Role Overload (L) + Emotional Demand (L) + Work Life Conflict (L)</w:t>
            </w:r>
          </w:p>
        </w:tc>
        <w:tc>
          <w:tcPr>
            <w:tcW w:type="dxa" w:w="1700"/>
            <w:shd w:fill="F1F5F9" w:val="clear"/>
            <w:vAlign w:val="center"/>
          </w:tcPr>
          <w:p>
            <w:pPr>
              <w:keepNext/>
              <w:spacing w:after="60" w:before="60"/>
              <w:jc w:val="center"/>
            </w:pPr>
            <w:r>
              <w:rPr>
                <w:rFonts w:ascii="Segoe UI Light" w:hAnsi="Segoe UI Light"/>
                <w:b w:val="0"/>
                <w:sz w:val="18"/>
              </w:rPr>
              <w:t>45.4%</w:t>
            </w:r>
          </w:p>
        </w:tc>
        <w:tc>
          <w:tcPr>
            <w:tcW w:type="dxa" w:w="1700"/>
            <w:shd w:fill="F1F5F9" w:val="clear"/>
            <w:vAlign w:val="center"/>
          </w:tcPr>
          <w:p>
            <w:pPr>
              <w:keepNext/>
              <w:spacing w:after="60" w:before="60"/>
              <w:jc w:val="center"/>
            </w:pPr>
            <w:r>
              <w:rPr>
                <w:rFonts w:ascii="Segoe UI Light" w:hAnsi="Segoe UI Light"/>
                <w:b w:val="0"/>
                <w:sz w:val="18"/>
              </w:rPr>
              <w:t>64.9%</w:t>
            </w:r>
          </w:p>
        </w:tc>
        <w:tc>
          <w:tcPr>
            <w:tcW w:type="dxa" w:w="1700"/>
            <w:shd w:fill="F1F5F9" w:val="clear"/>
            <w:vAlign w:val="center"/>
          </w:tcPr>
          <w:p>
            <w:pPr>
              <w:keepNext/>
              <w:spacing w:after="60" w:before="60"/>
              <w:jc w:val="center"/>
            </w:pPr>
            <w:r>
              <w:rPr>
                <w:rFonts w:ascii="Segoe UI Light" w:hAnsi="Segoe UI Light"/>
                <w:b w:val="0"/>
                <w:sz w:val="18"/>
              </w:rPr>
              <w:t>+19.5 pp</w:t>
            </w:r>
          </w:p>
        </w:tc>
      </w:tr>
      <w:tr>
        <w:trPr>
          <w:cantSplit/>
        </w:trPr>
        <w:tc>
          <w:tcPr>
            <w:tcW w:type="dxa" w:w="4535"/>
            <w:vAlign w:val="center"/>
          </w:tcPr>
          <w:p>
            <w:pPr>
              <w:keepNext/>
              <w:spacing w:after="60" w:before="60"/>
              <w:jc w:val="left"/>
            </w:pPr>
            <w:r>
              <w:rPr>
                <w:rFonts w:ascii="Segoe UI Light" w:hAnsi="Segoe UI Light"/>
                <w:b w:val="0"/>
                <w:sz w:val="18"/>
              </w:rPr>
              <w:t>Role Overload (L) + Work Life Conflict (L) + Meaningful Work (H)</w:t>
            </w:r>
          </w:p>
        </w:tc>
        <w:tc>
          <w:tcPr>
            <w:tcW w:type="dxa" w:w="1700"/>
            <w:vAlign w:val="center"/>
          </w:tcPr>
          <w:p>
            <w:pPr>
              <w:keepNext/>
              <w:spacing w:after="60" w:before="60"/>
              <w:jc w:val="center"/>
            </w:pPr>
            <w:r>
              <w:rPr>
                <w:rFonts w:ascii="Segoe UI Light" w:hAnsi="Segoe UI Light"/>
                <w:b w:val="0"/>
                <w:sz w:val="18"/>
              </w:rPr>
              <w:t>45.4%</w:t>
            </w:r>
          </w:p>
        </w:tc>
        <w:tc>
          <w:tcPr>
            <w:tcW w:type="dxa" w:w="1700"/>
            <w:vAlign w:val="center"/>
          </w:tcPr>
          <w:p>
            <w:pPr>
              <w:keepNext/>
              <w:spacing w:after="60" w:before="60"/>
              <w:jc w:val="center"/>
            </w:pPr>
            <w:r>
              <w:rPr>
                <w:rFonts w:ascii="Segoe UI Light" w:hAnsi="Segoe UI Light"/>
                <w:b w:val="0"/>
                <w:sz w:val="18"/>
              </w:rPr>
              <w:t>64.8%</w:t>
            </w:r>
          </w:p>
        </w:tc>
        <w:tc>
          <w:tcPr>
            <w:tcW w:type="dxa" w:w="1700"/>
            <w:vAlign w:val="center"/>
          </w:tcPr>
          <w:p>
            <w:pPr>
              <w:keepNext/>
              <w:spacing w:after="60" w:before="60"/>
              <w:jc w:val="center"/>
            </w:pPr>
            <w:r>
              <w:rPr>
                <w:rFonts w:ascii="Segoe UI Light" w:hAnsi="Segoe UI Light"/>
                <w:b w:val="0"/>
                <w:sz w:val="18"/>
              </w:rPr>
              <w:t>+19.4 pp</w:t>
            </w:r>
          </w:p>
        </w:tc>
      </w:tr>
      <w:tr>
        <w:trPr>
          <w:cantSplit/>
        </w:trPr>
        <w:tc>
          <w:tcPr>
            <w:tcW w:type="dxa" w:w="4535"/>
            <w:shd w:fill="F1F5F9" w:val="clear"/>
            <w:vAlign w:val="center"/>
          </w:tcPr>
          <w:p>
            <w:pPr>
              <w:keepNext/>
              <w:spacing w:after="60" w:before="60"/>
              <w:jc w:val="left"/>
            </w:pPr>
            <w:r>
              <w:rPr>
                <w:rFonts w:ascii="Segoe UI Light" w:hAnsi="Segoe UI Light"/>
                <w:b w:val="0"/>
                <w:sz w:val="18"/>
              </w:rPr>
              <w:t>Role Overload (L) + Work Life Conflict (L) + Change Consultation (H)</w:t>
            </w:r>
          </w:p>
        </w:tc>
        <w:tc>
          <w:tcPr>
            <w:tcW w:type="dxa" w:w="1700"/>
            <w:shd w:fill="F1F5F9" w:val="clear"/>
            <w:vAlign w:val="center"/>
          </w:tcPr>
          <w:p>
            <w:pPr>
              <w:keepNext/>
              <w:spacing w:after="60" w:before="60"/>
              <w:jc w:val="center"/>
            </w:pPr>
            <w:r>
              <w:rPr>
                <w:rFonts w:ascii="Segoe UI Light" w:hAnsi="Segoe UI Light"/>
                <w:b w:val="0"/>
                <w:sz w:val="18"/>
              </w:rPr>
              <w:t>45.4%</w:t>
            </w:r>
          </w:p>
        </w:tc>
        <w:tc>
          <w:tcPr>
            <w:tcW w:type="dxa" w:w="1700"/>
            <w:shd w:fill="F1F5F9" w:val="clear"/>
            <w:vAlign w:val="center"/>
          </w:tcPr>
          <w:p>
            <w:pPr>
              <w:keepNext/>
              <w:spacing w:after="60" w:before="60"/>
              <w:jc w:val="center"/>
            </w:pPr>
            <w:r>
              <w:rPr>
                <w:rFonts w:ascii="Segoe UI Light" w:hAnsi="Segoe UI Light"/>
                <w:b w:val="0"/>
                <w:sz w:val="18"/>
              </w:rPr>
              <w:t>64.6%</w:t>
            </w:r>
          </w:p>
        </w:tc>
        <w:tc>
          <w:tcPr>
            <w:tcW w:type="dxa" w:w="1700"/>
            <w:shd w:fill="F1F5F9" w:val="clear"/>
            <w:vAlign w:val="center"/>
          </w:tcPr>
          <w:p>
            <w:pPr>
              <w:keepNext/>
              <w:spacing w:after="60" w:before="60"/>
              <w:jc w:val="center"/>
            </w:pPr>
            <w:r>
              <w:rPr>
                <w:rFonts w:ascii="Segoe UI Light" w:hAnsi="Segoe UI Light"/>
                <w:b w:val="0"/>
                <w:sz w:val="18"/>
              </w:rPr>
              <w:t>+19.2 pp</w:t>
            </w:r>
          </w:p>
        </w:tc>
      </w:tr>
      <w:tr>
        <w:trPr>
          <w:cantSplit/>
        </w:trPr>
        <w:tc>
          <w:tcPr>
            <w:tcW w:type="dxa" w:w="4535"/>
            <w:vAlign w:val="center"/>
          </w:tcPr>
          <w:p>
            <w:pPr>
              <w:keepNext w:val="0"/>
              <w:spacing w:after="60" w:before="60"/>
              <w:jc w:val="left"/>
            </w:pPr>
            <w:r>
              <w:rPr>
                <w:rFonts w:ascii="Segoe UI Light" w:hAnsi="Segoe UI Light"/>
                <w:b w:val="0"/>
                <w:sz w:val="18"/>
              </w:rPr>
              <w:t>Role Overload (L) + Work Life Conflict (L) + Recognition (H)</w:t>
            </w:r>
          </w:p>
        </w:tc>
        <w:tc>
          <w:tcPr>
            <w:tcW w:type="dxa" w:w="1700"/>
            <w:vAlign w:val="center"/>
          </w:tcPr>
          <w:p>
            <w:pPr>
              <w:keepNext w:val="0"/>
              <w:spacing w:after="60" w:before="60"/>
              <w:jc w:val="center"/>
            </w:pPr>
            <w:r>
              <w:rPr>
                <w:rFonts w:ascii="Segoe UI Light" w:hAnsi="Segoe UI Light"/>
                <w:b w:val="0"/>
                <w:sz w:val="18"/>
              </w:rPr>
              <w:t>45.4%</w:t>
            </w:r>
          </w:p>
        </w:tc>
        <w:tc>
          <w:tcPr>
            <w:tcW w:type="dxa" w:w="1700"/>
            <w:vAlign w:val="center"/>
          </w:tcPr>
          <w:p>
            <w:pPr>
              <w:keepNext w:val="0"/>
              <w:spacing w:after="60" w:before="60"/>
              <w:jc w:val="center"/>
            </w:pPr>
            <w:r>
              <w:rPr>
                <w:rFonts w:ascii="Segoe UI Light" w:hAnsi="Segoe UI Light"/>
                <w:b w:val="0"/>
                <w:sz w:val="18"/>
              </w:rPr>
              <w:t>64.5%</w:t>
            </w:r>
          </w:p>
        </w:tc>
        <w:tc>
          <w:tcPr>
            <w:tcW w:type="dxa" w:w="1700"/>
            <w:vAlign w:val="center"/>
          </w:tcPr>
          <w:p>
            <w:pPr>
              <w:keepNext w:val="0"/>
              <w:spacing w:after="60" w:before="60"/>
              <w:jc w:val="center"/>
            </w:pPr>
            <w:r>
              <w:rPr>
                <w:rFonts w:ascii="Segoe UI Light" w:hAnsi="Segoe UI Light"/>
                <w:b w:val="0"/>
                <w:sz w:val="18"/>
              </w:rPr>
              <w:t>+19.0 pp</w:t>
            </w:r>
          </w:p>
        </w:tc>
      </w:tr>
    </w:tbl>
    <w:p>
      <w:bookmarkStart w:id="18" w:name="_PWToc18"/>
      <w:pPr>
        <w:pStyle w:val="Heading2"/>
        <w:keepNext/>
        <w:keepLines/>
      </w:pPr>
      <w:r>
        <w:rPr>
          <w:rFonts w:ascii="Segoe UI Light" w:hAnsi="Segoe UI Light"/>
          <w:b/>
          <w:color w:val="2D5A8E"/>
          <w:sz w:val="22"/>
        </w:rPr>
        <w:t>A5 – Methodology and How to Read These Tables</w:t>
      </w:r>
      <w:bookmarkEnd w:id="18"/>
    </w:p>
    <w:p>
      <w:pPr>
        <w:keepNext/>
        <w:keepLines/>
        <w:spacing w:after="120"/>
      </w:pPr>
      <w:r>
        <w:rPr>
          <w:rFonts w:ascii="Segoe UI Light" w:hAnsi="Segoe UI Light"/>
          <w:sz w:val="21"/>
        </w:rPr>
        <w:t>These are estimates from the supplied model. No response-fitting record is available in this export. A sector label alone does not establish a survey source or representative sector observations. The recorded information does not establish a measured baseline for this workplace.</w:t>
      </w:r>
    </w:p>
    <w:p>
      <w:pPr>
        <w:keepNext/>
        <w:keepLines/>
        <w:spacing w:after="120"/>
      </w:pPr>
      <w:r>
        <w:rPr>
          <w:rFonts w:ascii="Segoe UI Light" w:hAnsi="Segoe UI Light"/>
          <w:sz w:val="21"/>
        </w:rPr>
        <w:t>Factors use the state labels recorded in the supplied model; they need not all use the same scale. Scenarios are hypothetical planning comparisons, not promises of achievable change or proof of causation. Changing one factor can also change related factors. Percentages describe the selected state; percentage points describe differences. A summed outcome score is a comparison score, not a percentage of workers.</w:t>
      </w:r>
    </w:p>
    <w:p>
      <w:pPr>
        <w:keepNext/>
        <w:keepLines/>
        <w:spacing w:after="120"/>
      </w:pPr>
      <w:r>
        <w:rPr>
          <w:rFonts w:ascii="Segoe UI Light" w:hAnsi="Segoe UI Light"/>
          <w:sz w:val="21"/>
        </w:rPr>
        <w:t>Numerical uncertainty ranges are not available. Consider answer coverage, the model's source and worker consultation when deciding what to do. Use Data Analytics to explore other factors and scenarios.</w:t>
      </w:r>
    </w:p>
    <w:p>
      <w:pPr>
        <w:keepLines/>
        <w:spacing w:after="120"/>
      </w:pPr>
      <w:r>
        <w:rPr>
          <w:rFonts w:ascii="Segoe UI Light" w:hAnsi="Segoe UI Light"/>
          <w:sz w:val="21"/>
        </w:rPr>
        <w:t>Displayed values are rounded. Complete distributions may not total exactly 100%, and changes or summed scores may differ slightly from calculations using the displayed figures.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Segoe UI Light" w:hAnsi="Segoe UI Light"/>
        <w:color w:val="94A3B8"/>
        <w:sz w:val="16"/>
      </w:rPr>
      <w:t xml:space="preserve">Test Org  ·  </w:t>
    </w:r>
    <w:r>
      <w:rPr>
        <w:rFonts w:ascii="Segoe UI Light" w:hAnsi="Segoe UI Light"/>
        <w:color w:val="94A3B8"/>
        <w:sz w:val="16"/>
      </w:rPr>
      <w:t xml:space="preserve">Page </w:t>
    </w:r>
    <w:r>
      <w:rPr>
        <w:rFonts w:ascii="Segoe UI Light" w:hAnsi="Segoe UI Light"/>
        <w:color w:val="94A3B8"/>
        <w:sz w:val="16"/>
      </w:rPr>
      <w:fldChar w:fldCharType="begin"/>
    </w:r>
    <w:r>
      <w:rPr>
        <w:rFonts w:ascii="Segoe UI Light" w:hAnsi="Segoe UI Light"/>
        <w:color w:val="94A3B8"/>
        <w:sz w:val="16"/>
      </w:rPr>
      <w:instrText xml:space="preserve"> PAGE </w:instrText>
    </w:r>
    <w:r>
      <w:rPr>
        <w:rFonts w:ascii="Segoe UI Light" w:hAnsi="Segoe UI Light"/>
        <w:color w:val="94A3B8"/>
        <w:sz w:val="16"/>
      </w:rPr>
      <w:fldChar w:fldCharType="end"/>
    </w:r>
    <w:r>
      <w:rPr>
        <w:rFonts w:ascii="Segoe UI Light" w:hAnsi="Segoe UI Light"/>
        <w:color w:val="94A3B8"/>
        <w:sz w:val="16"/>
      </w:rPr>
      <w:t xml:space="preserve">  ·  Prior Work  ·  priorwork.au  ·  © 2026 Prior Work. Released under CC BY-NC-SA 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pPr>
    <w:rPr>
      <w:rFonts w:ascii="Segoe UI Light" w:hAnsi="Segoe UI Light"/>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Segoe UI Light" w:hAnsi="Segoe UI Light"/>
      <w:b/>
      <w:bCs/>
      <w:color w:val="1E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Segoe UI Light" w:hAnsi="Segoe UI Light"/>
      <w:b/>
      <w:bCs/>
      <w:color w:val="2D5A8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20"/>
      <w:ind w:left="340" w:right="227"/>
    </w:pPr>
    <w:rPr>
      <w:rFonts w:ascii="Segoe UI Light" w:hAnsi="Segoe UI Light"/>
      <w:i w:val="0"/>
      <w:iCs/>
      <w:color w:val="1F2937"/>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