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Segoe UI Light" w:hAnsi="Segoe UI Light"/>
          <w:b/>
          <w:color w:val="1E3A5F"/>
          <w:sz w:val="44"/>
        </w:rPr>
        <w:t>Consultation Guide</w:t>
      </w:r>
    </w:p>
    <w:p>
      <w:pPr>
        <w:spacing w:before="80"/>
        <w:jc w:val="center"/>
      </w:pPr>
      <w:r>
        <w:rPr>
          <w:rFonts w:ascii="Segoe UI Light" w:hAnsi="Segoe UI Light"/>
          <w:color w:val="2D5A8E"/>
          <w:sz w:val="24"/>
        </w:rPr>
        <w:t>Follow-up focus group &amp; team check-in guide</w:t>
      </w:r>
    </w:p>
    <w:p>
      <w:pPr>
        <w:spacing w:before="240"/>
        <w:jc w:val="center"/>
      </w:pPr>
      <w:r>
        <w:rPr>
          <w:rFonts w:ascii="Segoe UI Light" w:hAnsi="Segoe UI Light"/>
          <w:color w:val="2D5A8E"/>
          <w:sz w:val="28"/>
        </w:rPr>
        <w:t>Test Org</w:t>
      </w:r>
    </w:p>
    <w:p>
      <w:pPr>
        <w:spacing w:before="400"/>
        <w:jc w:val="center"/>
      </w:pPr>
      <w:r>
        <w:rPr>
          <w:rFonts w:ascii="Segoe UI Light" w:hAnsi="Segoe UI Light"/>
          <w:color w:val="94A3B8"/>
          <w:sz w:val="18"/>
        </w:rPr>
        <w:t>Prepared by: Pat Egan · Date: 27/09/2026</w:t>
      </w:r>
    </w:p>
    <w:p>
      <w:r>
        <w:br w:type="page"/>
      </w:r>
    </w:p>
    <w:p>
      <w:pPr>
        <w:pStyle w:val="Heading1"/>
      </w:pPr>
      <w:r>
        <w:rPr>
          <w:rFonts w:ascii="Segoe UI Light" w:hAnsi="Segoe UI Light"/>
          <w:b/>
          <w:color w:val="1E3A5F"/>
          <w:sz w:val="28"/>
        </w:rPr>
        <w:t>Pulse follow-up check-in</w:t>
      </w:r>
    </w:p>
    <w:p>
      <w:pPr>
        <w:spacing w:after="120"/>
      </w:pPr>
      <w:r>
        <w:rPr>
          <w:rFonts w:ascii="Segoe UI Light" w:hAnsi="Segoe UI Light"/>
          <w:sz w:val="21"/>
        </w:rPr>
        <w:t>Test Org’s 27 September 2026 pulse file shows favourable category comparisons across the five focus areas. The follow-up working group can use worker check-ins to clarify remaining pressures and which work arrangements are helpful.</w:t>
      </w:r>
    </w:p>
    <w:p>
      <w:pPr>
        <w:spacing w:after="120"/>
      </w:pPr>
      <w:r>
        <w:rPr>
          <w:rFonts w:ascii="Segoe UI Light" w:hAnsi="Segoe UI Light"/>
          <w:sz w:val="21"/>
        </w:rPr>
        <w:t>The focus-factor records are labelled observed, but collection and Test Org coverage are unverified. The baseline is model-derived with an unrecorded source, not a verified earlier local survey. Reported outcomes are estimates, not direct worker responses. These comparisons cannot confirm local trends or causes. Separate planning comparisons assume everyone experiences the specified conditions; they do not forecast control effects. Ask a data owner to verify the file’s origin, dates, questions and coverage.</w:t>
      </w:r>
    </w:p>
    <w:p>
      <w:pPr>
        <w:pStyle w:val="Heading2"/>
      </w:pPr>
      <w:r>
        <w:rPr>
          <w:rFonts w:ascii="Segoe UI Light" w:hAnsi="Segoe UI Light"/>
          <w:b/>
          <w:color w:val="2D5A8E"/>
          <w:sz w:val="22"/>
        </w:rPr>
        <w:t>Proposed format</w:t>
      </w:r>
    </w:p>
    <w:p>
      <w:pPr>
        <w:spacing w:after="120"/>
      </w:pPr>
      <w:r>
        <w:rPr>
          <w:rFonts w:ascii="Segoe UI Light" w:hAnsi="Segoe UI Light"/>
          <w:sz w:val="21"/>
        </w:rPr>
        <w:t>Allow 25–30 minutes: a brief opening, around three minutes per factor and five minutes to agree next steps.</w:t>
      </w:r>
    </w:p>
    <w:p>
      <w:pPr>
        <w:spacing w:after="120"/>
      </w:pPr>
      <w:r>
        <w:rPr>
          <w:rFonts w:ascii="Segoe UI Light" w:hAnsi="Segoe UI Light"/>
          <w:sz w:val="21"/>
        </w:rPr>
        <w:t>Before discussion, agree what will be recorded, who will receive summaries and how workers will hear back. Propose reporting themes without names, but explain that people may still be recognisable and serious safety concerns may need escalation. Invite differing experiences, allow workers to pass and arrange a private follow-up option.</w:t>
      </w:r>
    </w:p>
    <w:p>
      <w:pPr>
        <w:pStyle w:val="Heading2"/>
      </w:pPr>
      <w:r>
        <w:rPr>
          <w:rFonts w:ascii="Segoe UI Light" w:hAnsi="Segoe UI Light"/>
          <w:b/>
          <w:color w:val="2D5A8E"/>
          <w:sz w:val="22"/>
        </w:rPr>
        <w:t>Questions for the check-in</w:t>
      </w:r>
    </w:p>
    <w:p>
      <w:pPr>
        <w:pStyle w:val="Heading3"/>
      </w:pPr>
      <w:r>
        <w:rPr>
          <w:rFonts w:ascii="Segoe UI Light" w:hAnsi="Segoe UI Light"/>
          <w:b/>
          <w:color w:val="2D5A8E"/>
          <w:sz w:val="21"/>
        </w:rPr>
        <w:t>Work Life Conflict</w:t>
      </w:r>
    </w:p>
    <w:p>
      <w:pPr>
        <w:spacing w:after="120"/>
      </w:pPr>
      <w:r>
        <w:rPr>
          <w:rFonts w:ascii="Segoe UI Light" w:hAnsi="Segoe UI Light"/>
          <w:sz w:val="21"/>
        </w:rPr>
        <w:t>High conflict is about 3 percentage points lower, at around 17%. This concerns work interfering with home responsibilities.</w:t>
      </w:r>
    </w:p>
    <w:p>
      <w:pPr>
        <w:pStyle w:val="ListBullet"/>
        <w:spacing w:after="60"/>
      </w:pPr>
      <w:r>
        <w:rPr>
          <w:rFonts w:ascii="Segoe UI Light" w:hAnsi="Segoe UI Light"/>
          <w:sz w:val="21"/>
        </w:rPr>
        <w:t>How does work fit with responsibilities outside work at present?</w:t>
      </w:r>
    </w:p>
    <w:p>
      <w:pPr>
        <w:pStyle w:val="ListBullet"/>
        <w:spacing w:after="60"/>
      </w:pPr>
      <w:r>
        <w:rPr>
          <w:rFonts w:ascii="Segoe UI Light" w:hAnsi="Segoe UI Light"/>
          <w:sz w:val="21"/>
        </w:rPr>
        <w:t>What makes that fit easier or harder?</w:t>
      </w:r>
    </w:p>
    <w:p>
      <w:pPr>
        <w:spacing w:after="120"/>
      </w:pPr>
      <w:r>
        <w:rPr>
          <w:rFonts w:ascii="Segoe UI Light" w:hAnsi="Segoe UI Light"/>
          <w:sz w:val="21"/>
        </w:rPr>
        <w:t>Use examples to consider workload, scheduling or contact expectations, rather than assuming which needs attention.</w:t>
      </w:r>
    </w:p>
    <w:p>
      <w:pPr>
        <w:pStyle w:val="Heading3"/>
      </w:pPr>
      <w:r>
        <w:rPr>
          <w:rFonts w:ascii="Segoe UI Light" w:hAnsi="Segoe UI Light"/>
          <w:b/>
          <w:color w:val="2D5A8E"/>
          <w:sz w:val="21"/>
        </w:rPr>
        <w:t>Role Overload</w:t>
      </w:r>
    </w:p>
    <w:p>
      <w:pPr>
        <w:spacing w:after="120"/>
      </w:pPr>
      <w:r>
        <w:rPr>
          <w:rFonts w:ascii="Segoe UI Light" w:hAnsi="Segoe UI Light"/>
          <w:sz w:val="21"/>
        </w:rPr>
        <w:t>High overload is about 11 percentage points lower, at around 14%. This concerns work exceeding available capacity.</w:t>
      </w:r>
    </w:p>
    <w:p>
      <w:pPr>
        <w:pStyle w:val="ListBullet"/>
        <w:spacing w:after="60"/>
      </w:pPr>
      <w:r>
        <w:rPr>
          <w:rFonts w:ascii="Segoe UI Light" w:hAnsi="Segoe UI Light"/>
          <w:sz w:val="21"/>
        </w:rPr>
        <w:t>When is the amount or pace of work manageable, and when is it not?</w:t>
      </w:r>
    </w:p>
    <w:p>
      <w:pPr>
        <w:pStyle w:val="ListBullet"/>
        <w:spacing w:after="60"/>
      </w:pPr>
      <w:r>
        <w:rPr>
          <w:rFonts w:ascii="Segoe UI Light" w:hAnsi="Segoe UI Light"/>
          <w:sz w:val="21"/>
        </w:rPr>
        <w:t>What happens when priorities compete?</w:t>
      </w:r>
    </w:p>
    <w:p>
      <w:pPr>
        <w:spacing w:after="120"/>
      </w:pPr>
      <w:r>
        <w:rPr>
          <w:rFonts w:ascii="Segoe UI Light" w:hAnsi="Segoe UI Light"/>
          <w:sz w:val="21"/>
        </w:rPr>
        <w:t>Identify possible work to stop, defer or escalate for resourcing decisions.</w:t>
      </w:r>
    </w:p>
    <w:p>
      <w:pPr>
        <w:spacing w:after="120"/>
      </w:pPr>
      <w:r>
        <w:rPr>
          <w:rFonts w:ascii="Segoe UI Light" w:hAnsi="Segoe UI Light"/>
          <w:sz w:val="21"/>
        </w:rPr>
        <w:t xml:space="preserve">In separate current-model planning for low </w:t>
      </w:r>
      <w:r>
        <w:rPr>
          <w:rFonts w:ascii="Segoe UI Light" w:hAnsi="Segoe UI Light"/>
          <w:b/>
          <w:sz w:val="21"/>
        </w:rPr>
        <w:t>Role Overload</w:t>
      </w:r>
      <w:r>
        <w:rPr>
          <w:rFonts w:ascii="Segoe UI Light" w:hAnsi="Segoe UI Light"/>
          <w:sz w:val="21"/>
        </w:rPr>
        <w:t xml:space="preserve">,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are estimated to be about 15 and 7 percentage points lower than that model’s baseline, but high </w:t>
      </w:r>
      <w:r>
        <w:rPr>
          <w:rFonts w:ascii="Segoe UI Light" w:hAnsi="Segoe UI Light"/>
          <w:b/>
          <w:sz w:val="21"/>
        </w:rPr>
        <w:t>Work Engagement</w:t>
      </w:r>
      <w:r>
        <w:rPr>
          <w:rFonts w:ascii="Segoe UI Light" w:hAnsi="Segoe UI Light"/>
          <w:sz w:val="21"/>
        </w:rPr>
        <w:t xml:space="preserve"> is about 1.1 percentage points lower. Check engagement alongside workload relief; excessive demands should not be retained.</w:t>
      </w:r>
    </w:p>
    <w:p>
      <w:pPr>
        <w:pStyle w:val="Heading3"/>
      </w:pPr>
      <w:r>
        <w:rPr>
          <w:rFonts w:ascii="Segoe UI Light" w:hAnsi="Segoe UI Light"/>
          <w:b/>
          <w:color w:val="2D5A8E"/>
          <w:sz w:val="21"/>
        </w:rPr>
        <w:t>Emotional Demand</w:t>
      </w:r>
    </w:p>
    <w:p>
      <w:pPr>
        <w:spacing w:after="120"/>
      </w:pPr>
      <w:r>
        <w:rPr>
          <w:rFonts w:ascii="Segoe UI Light" w:hAnsi="Segoe UI Light"/>
          <w:sz w:val="21"/>
        </w:rPr>
        <w:t>High emotional demand is about 19 percentage points lower, at around 2%. This concerns work that requires emotional effort.</w:t>
      </w:r>
    </w:p>
    <w:p>
      <w:pPr>
        <w:pStyle w:val="ListBullet"/>
        <w:spacing w:after="60"/>
      </w:pPr>
      <w:r>
        <w:rPr>
          <w:rFonts w:ascii="Segoe UI Light" w:hAnsi="Segoe UI Light"/>
          <w:sz w:val="21"/>
        </w:rPr>
        <w:t>Which parts of the work require emotional effort now?</w:t>
      </w:r>
    </w:p>
    <w:p>
      <w:pPr>
        <w:pStyle w:val="ListBullet"/>
        <w:spacing w:after="60"/>
      </w:pPr>
      <w:r>
        <w:rPr>
          <w:rFonts w:ascii="Segoe UI Light" w:hAnsi="Segoe UI Light"/>
          <w:sz w:val="21"/>
        </w:rPr>
        <w:t>What, if anything, has changed in tasks, exposure or who does this work?</w:t>
      </w:r>
    </w:p>
    <w:p>
      <w:pPr>
        <w:spacing w:after="120"/>
      </w:pPr>
      <w:r>
        <w:rPr>
          <w:rFonts w:ascii="Segoe UI Light" w:hAnsi="Segoe UI Light"/>
          <w:sz w:val="21"/>
        </w:rPr>
        <w:t>Use answers and collection checks to investigate whether exposure changed or became concentrated in fewer roles. Retain useful safeguards meanwhile.</w:t>
      </w:r>
    </w:p>
    <w:p>
      <w:pPr>
        <w:pStyle w:val="Heading3"/>
      </w:pPr>
      <w:r>
        <w:rPr>
          <w:rFonts w:ascii="Segoe UI Light" w:hAnsi="Segoe UI Light"/>
          <w:b/>
          <w:color w:val="2D5A8E"/>
          <w:sz w:val="21"/>
        </w:rPr>
        <w:t>Job Control</w:t>
      </w:r>
    </w:p>
    <w:p>
      <w:pPr>
        <w:spacing w:after="120"/>
      </w:pPr>
      <w:r>
        <w:rPr>
          <w:rFonts w:ascii="Segoe UI Light" w:hAnsi="Segoe UI Light"/>
          <w:sz w:val="21"/>
        </w:rPr>
        <w:t>High control is about 17 percentage points higher, at around 45%. This means useful influence over how, when or in what order work is done.</w:t>
      </w:r>
    </w:p>
    <w:p>
      <w:pPr>
        <w:pStyle w:val="ListBullet"/>
        <w:spacing w:after="60"/>
      </w:pPr>
      <w:r>
        <w:rPr>
          <w:rFonts w:ascii="Segoe UI Light" w:hAnsi="Segoe UI Light"/>
          <w:sz w:val="21"/>
        </w:rPr>
        <w:t>Where do you have useful choice in your work?</w:t>
      </w:r>
    </w:p>
    <w:p>
      <w:pPr>
        <w:pStyle w:val="ListBullet"/>
        <w:spacing w:after="60"/>
      </w:pPr>
      <w:r>
        <w:rPr>
          <w:rFonts w:ascii="Segoe UI Light" w:hAnsi="Segoe UI Light"/>
          <w:sz w:val="21"/>
        </w:rPr>
        <w:t>What helps or limits your ability to use that choice?</w:t>
      </w:r>
    </w:p>
    <w:p>
      <w:pPr>
        <w:spacing w:after="120"/>
      </w:pPr>
      <w:r>
        <w:rPr>
          <w:rFonts w:ascii="Segoe UI Light" w:hAnsi="Segoe UI Light"/>
          <w:sz w:val="21"/>
        </w:rPr>
        <w:t>Preserve helpful discretion without transferring responsibility that lacks time, resources or support.</w:t>
      </w:r>
    </w:p>
    <w:p>
      <w:pPr>
        <w:pStyle w:val="Heading3"/>
      </w:pPr>
      <w:r>
        <w:rPr>
          <w:rFonts w:ascii="Segoe UI Light" w:hAnsi="Segoe UI Light"/>
          <w:b/>
          <w:color w:val="2D5A8E"/>
          <w:sz w:val="21"/>
        </w:rPr>
        <w:t>Recognition</w:t>
      </w:r>
    </w:p>
    <w:p>
      <w:pPr>
        <w:spacing w:after="120"/>
      </w:pPr>
      <w:r>
        <w:rPr>
          <w:rFonts w:ascii="Segoe UI Light" w:hAnsi="Segoe UI Light"/>
          <w:sz w:val="21"/>
        </w:rPr>
        <w:t>High recognition is about 10 percentage points higher, at around 60%. This means workers’ contributions being acknowledged.</w:t>
      </w:r>
    </w:p>
    <w:p>
      <w:pPr>
        <w:pStyle w:val="ListBullet"/>
        <w:spacing w:after="60"/>
      </w:pPr>
      <w:r>
        <w:rPr>
          <w:rFonts w:ascii="Segoe UI Light" w:hAnsi="Segoe UI Light"/>
          <w:sz w:val="21"/>
        </w:rPr>
        <w:t>How are contributions acknowledged here?</w:t>
      </w:r>
    </w:p>
    <w:p>
      <w:pPr>
        <w:pStyle w:val="ListBullet"/>
        <w:spacing w:after="60"/>
      </w:pPr>
      <w:r>
        <w:rPr>
          <w:rFonts w:ascii="Segoe UI Light" w:hAnsi="Segoe UI Light"/>
          <w:sz w:val="21"/>
        </w:rPr>
        <w:t>Which practices feel useful and fair, and where, if anywhere, are there gaps?</w:t>
      </w:r>
    </w:p>
    <w:p>
      <w:pPr>
        <w:spacing w:after="120"/>
      </w:pPr>
      <w:r>
        <w:rPr>
          <w:rFonts w:ascii="Segoe UI Light" w:hAnsi="Segoe UI Light"/>
          <w:sz w:val="21"/>
        </w:rPr>
        <w:t>Keep valued practices and address gaps through existing feedback routines where possible, rather than adding reporting work.</w:t>
      </w:r>
    </w:p>
    <w:p>
      <w:pPr>
        <w:pStyle w:val="Heading2"/>
      </w:pPr>
      <w:r>
        <w:rPr>
          <w:rFonts w:ascii="Segoe UI Light" w:hAnsi="Segoe UI Light"/>
          <w:b/>
          <w:color w:val="2D5A8E"/>
          <w:sz w:val="22"/>
        </w:rPr>
        <w:t>Agree and follow through</w:t>
      </w:r>
    </w:p>
    <w:p>
      <w:pPr>
        <w:spacing w:after="120"/>
      </w:pPr>
      <w:r>
        <w:rPr>
          <w:rFonts w:ascii="Segoe UI Light" w:hAnsi="Segoe UI Light"/>
          <w:sz w:val="21"/>
        </w:rPr>
        <w:t>Agree one or two actions to recommend, a proposed owner and a review date, fitted to available authority, resources and work underway. Check whether changes would shift workload or remove useful support elsewhere.</w:t>
      </w:r>
    </w:p>
    <w:p>
      <w:pPr>
        <w:spacing w:after="120"/>
      </w:pPr>
      <w:r>
        <w:rPr>
          <w:rFonts w:ascii="Segoe UI Light" w:hAnsi="Segoe UI Light"/>
          <w:sz w:val="21"/>
        </w:rPr>
        <w:t>Review implementation after about 2–4 weeks. Consider another pulse 8–12 weeks after changes are operating, with collection and comparability checks.</w:t>
      </w:r>
    </w:p>
    <w:p>
      <w:pPr>
        <w:spacing w:after="120"/>
      </w:pPr>
      <w:r>
        <w:rPr>
          <w:rFonts w:ascii="Segoe UI Light" w:hAnsi="Segoe UI Light"/>
          <w:b/>
          <w:sz w:val="21"/>
        </w:rPr>
        <w:t>Facilitator note:</w:t>
      </w:r>
      <w:r>
        <w:rPr>
          <w:rFonts w:ascii="Segoe UI Light" w:hAnsi="Segoe UI Light"/>
          <w:sz w:val="21"/>
        </w:rPr>
        <w:t xml:space="preserve"> Serious concerns need prompt attention through the appropriate safety or support pathway. Avoid investigating individual cases in the group; arrange private follow-up and seek immediate protection where needed. Do not wait for another survey before responding to established harm.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