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p>
    <w:p>
      <w:pPr>
        <w:spacing w:after="0"/>
      </w:pPr>
    </w:p>
    <w:p>
      <w:pPr>
        <w:spacing w:after="0"/>
      </w:pPr>
    </w:p>
    <w:p>
      <w:pPr>
        <w:spacing w:after="0"/>
      </w:pPr>
    </w:p>
    <w:p>
      <w:pPr>
        <w:spacing w:after="0"/>
      </w:pPr>
    </w:p>
    <w:p>
      <w:pPr>
        <w:spacing w:after="0"/>
      </w:pPr>
    </w:p>
    <w:p>
      <w:pPr>
        <w:jc w:val="center"/>
      </w:pPr>
      <w:r>
        <w:rPr>
          <w:rFonts w:ascii="Segoe UI Light" w:hAnsi="Segoe UI Light"/>
          <w:b/>
          <w:color w:val="1E3A5F"/>
          <w:sz w:val="48"/>
        </w:rPr>
        <w:t>Psychosocial Risk Management Report</w:t>
      </w:r>
    </w:p>
    <w:p>
      <w:pPr>
        <w:spacing w:before="120"/>
        <w:jc w:val="center"/>
      </w:pPr>
      <w:r>
        <w:rPr>
          <w:rFonts w:ascii="Segoe UI Light" w:hAnsi="Segoe UI Light"/>
          <w:color w:val="2D5A8E"/>
          <w:sz w:val="32"/>
        </w:rPr>
        <w:t>Test Org</w:t>
      </w:r>
    </w:p>
    <w:p>
      <w:pPr>
        <w:spacing w:before="120" w:after="120"/>
        <w:pBdr>
          <w:bottom w:val="single" w:sz="4" w:space="1" w:color="E2E8F0"/>
        </w:pBdr>
      </w:pPr>
    </w:p>
    <w:p>
      <w:pPr>
        <w:spacing w:after="60"/>
        <w:jc w:val="center"/>
      </w:pPr>
      <w:r>
        <w:rPr>
          <w:rFonts w:ascii="Segoe UI Light" w:hAnsi="Segoe UI Light"/>
          <w:b/>
          <w:color w:val="64748B"/>
          <w:sz w:val="20"/>
        </w:rPr>
        <w:t xml:space="preserve">Outcome measures: </w:t>
      </w:r>
      <w:r>
        <w:rPr>
          <w:rFonts w:ascii="Segoe UI Light" w:hAnsi="Segoe UI Light"/>
          <w:color w:val="64748B"/>
          <w:sz w:val="20"/>
        </w:rPr>
        <w:t>Work Engagement  ·  Burnout  ·  Psych Distress</w:t>
      </w:r>
    </w:p>
    <w:p>
      <w:pPr>
        <w:spacing w:after="60"/>
        <w:jc w:val="center"/>
      </w:pPr>
      <w:r>
        <w:rPr>
          <w:rFonts w:ascii="Segoe UI Light" w:hAnsi="Segoe UI Light"/>
          <w:b/>
          <w:color w:val="64748B"/>
          <w:sz w:val="20"/>
        </w:rPr>
        <w:t xml:space="preserve">Organisation size: </w:t>
      </w:r>
      <w:r>
        <w:rPr>
          <w:rFonts w:ascii="Segoe UI Light" w:hAnsi="Segoe UI Light"/>
          <w:color w:val="64748B"/>
          <w:sz w:val="20"/>
        </w:rPr>
        <w:t>1,200</w:t>
      </w:r>
    </w:p>
    <w:p>
      <w:pPr>
        <w:spacing w:after="60"/>
        <w:jc w:val="center"/>
      </w:pPr>
      <w:r>
        <w:rPr>
          <w:rFonts w:ascii="Segoe UI Light" w:hAnsi="Segoe UI Light"/>
          <w:b/>
          <w:color w:val="64748B"/>
          <w:sz w:val="20"/>
        </w:rPr>
        <w:t xml:space="preserve">Date: </w:t>
      </w:r>
      <w:r>
        <w:rPr>
          <w:rFonts w:ascii="Segoe UI Light" w:hAnsi="Segoe UI Light"/>
          <w:color w:val="64748B"/>
          <w:sz w:val="20"/>
        </w:rPr>
        <w:t>25/09/2026</w:t>
      </w:r>
    </w:p>
    <w:p>
      <w:pPr>
        <w:spacing w:after="60"/>
        <w:jc w:val="center"/>
      </w:pPr>
      <w:r>
        <w:rPr>
          <w:rFonts w:ascii="Segoe UI Light" w:hAnsi="Segoe UI Light"/>
          <w:b/>
          <w:color w:val="64748B"/>
          <w:sz w:val="20"/>
        </w:rPr>
        <w:t xml:space="preserve">Prepared by: </w:t>
      </w:r>
      <w:r>
        <w:rPr>
          <w:rFonts w:ascii="Segoe UI Light" w:hAnsi="Segoe UI Light"/>
          <w:color w:val="64748B"/>
          <w:sz w:val="20"/>
        </w:rPr>
        <w:t>Pat Egan</w:t>
      </w:r>
    </w:p>
    <w:p>
      <w:pPr>
        <w:spacing w:before="120" w:after="120"/>
        <w:pBdr>
          <w:bottom w:val="single" w:sz="4" w:space="1" w:color="E2E8F0"/>
        </w:pBdr>
      </w:pPr>
    </w:p>
    <w:p>
      <w:pPr>
        <w:jc w:val="center"/>
      </w:pPr>
      <w:r>
        <w:rPr>
          <w:rFonts w:ascii="Segoe UI Light" w:hAnsi="Segoe UI Light"/>
          <w:i/>
          <w:color w:val="94A3B8"/>
          <w:sz w:val="16"/>
        </w:rPr>
        <w:t>Generated with Prior Work  ·  priorwork.au  ·  © 2026 Prior Work. Released under CC BY-NC-SA 4.0.</w:t>
      </w:r>
    </w:p>
    <w:p>
      <w:r>
        <w:br w:type="page"/>
      </w:r>
    </w:p>
    <w:p>
      <w:pPr>
        <w:spacing w:after="200"/>
      </w:pPr>
      <w:r>
        <w:rPr>
          <w:rFonts w:ascii="Segoe UI Light" w:hAnsi="Segoe UI Light"/>
          <w:b/>
          <w:color w:val="1E3A5F"/>
          <w:sz w:val="28"/>
        </w:rPr>
        <w:t>Contents</w:t>
      </w:r>
    </w:p>
    <w:p>
      <w:pPr>
        <w:spacing w:after="40"/>
      </w:pPr>
      <w:r>
        <w:fldChar w:fldCharType="begin"/>
        <w:instrText xml:space="preserve"> TOC \o "1-2" \h \z \u </w:instrText>
        <w:fldChar w:fldCharType="separate"/>
      </w:r>
    </w:p>
    <w:p>
      <w:pPr>
        <w:spacing w:after="40"/>
      </w:pPr>
      <w:hyperlink w:anchor="_PWToc0">
        <w:r>
          <w:rPr>
            <w:rFonts w:ascii="Segoe UI Light" w:hAnsi="Segoe UI Light"/>
            <w:b/>
            <w:color w:val="1E3A5F"/>
            <w:sz w:val="21"/>
          </w:rPr>
          <w:t>Executive Summary</w:t>
        </w:r>
      </w:hyperlink>
    </w:p>
    <w:p>
      <w:pPr>
        <w:spacing w:after="40"/>
      </w:pPr>
      <w:hyperlink w:anchor="_PWToc1">
        <w:r>
          <w:rPr>
            <w:rFonts w:ascii="Segoe UI Light" w:hAnsi="Segoe UI Light"/>
            <w:b/>
            <w:color w:val="1E3A5F"/>
            <w:sz w:val="21"/>
          </w:rPr>
          <w:t>Context and Approach</w:t>
        </w:r>
      </w:hyperlink>
    </w:p>
    <w:p>
      <w:pPr>
        <w:spacing w:after="40"/>
      </w:pPr>
      <w:hyperlink w:anchor="_PWToc2">
        <w:r>
          <w:rPr>
            <w:rFonts w:ascii="Segoe UI Light" w:hAnsi="Segoe UI Light"/>
            <w:b/>
            <w:color w:val="1E3A5F"/>
            <w:sz w:val="21"/>
          </w:rPr>
          <w:t>Findings and What They Mean</w:t>
        </w:r>
      </w:hyperlink>
    </w:p>
    <w:p>
      <w:pPr>
        <w:spacing w:after="40"/>
        <w:ind w:left="340"/>
      </w:pPr>
      <w:hyperlink w:anchor="_PWToc3">
        <w:r>
          <w:rPr>
            <w:rFonts w:ascii="Segoe UI Light" w:hAnsi="Segoe UI Light"/>
            <w:b w:val="0"/>
            <w:color w:val="64748B"/>
            <w:sz w:val="19"/>
          </w:rPr>
          <w:t>The starting position</w:t>
        </w:r>
      </w:hyperlink>
    </w:p>
    <w:p>
      <w:pPr>
        <w:spacing w:after="40"/>
        <w:ind w:left="340"/>
      </w:pPr>
      <w:hyperlink w:anchor="_PWToc4">
        <w:r>
          <w:rPr>
            <w:rFonts w:ascii="Segoe UI Light" w:hAnsi="Segoe UI Light"/>
            <w:b w:val="0"/>
            <w:color w:val="64748B"/>
            <w:sz w:val="19"/>
          </w:rPr>
          <w:t>Role Overload: the largest lever on Burnout, with a trade-off</w:t>
        </w:r>
      </w:hyperlink>
    </w:p>
    <w:p>
      <w:pPr>
        <w:spacing w:after="40"/>
        <w:ind w:left="340"/>
      </w:pPr>
      <w:hyperlink w:anchor="_PWToc5">
        <w:r>
          <w:rPr>
            <w:rFonts w:ascii="Segoe UI Light" w:hAnsi="Segoe UI Light"/>
            <w:b w:val="0"/>
            <w:color w:val="64748B"/>
            <w:sz w:val="19"/>
          </w:rPr>
          <w:t>Work Life Conflict: consistent gains across all three outcomes</w:t>
        </w:r>
      </w:hyperlink>
    </w:p>
    <w:p>
      <w:pPr>
        <w:spacing w:after="40"/>
        <w:ind w:left="340"/>
      </w:pPr>
      <w:hyperlink w:anchor="_PWToc6">
        <w:r>
          <w:rPr>
            <w:rFonts w:ascii="Segoe UI Light" w:hAnsi="Segoe UI Light"/>
            <w:b w:val="0"/>
            <w:color w:val="64748B"/>
            <w:sz w:val="19"/>
          </w:rPr>
          <w:t>Recognition and Meaningful Work: the main levers on Work Engagement</w:t>
        </w:r>
      </w:hyperlink>
    </w:p>
    <w:p>
      <w:pPr>
        <w:spacing w:after="40"/>
        <w:ind w:left="340"/>
      </w:pPr>
      <w:hyperlink w:anchor="_PWToc7">
        <w:r>
          <w:rPr>
            <w:rFonts w:ascii="Segoe UI Light" w:hAnsi="Segoe UI Light"/>
            <w:b w:val="0"/>
            <w:color w:val="64748B"/>
            <w:sz w:val="19"/>
          </w:rPr>
          <w:t>Emotional Demand: a Burnout risk to examine at role and team level</w:t>
        </w:r>
      </w:hyperlink>
    </w:p>
    <w:p>
      <w:pPr>
        <w:spacing w:after="40"/>
        <w:ind w:left="340"/>
      </w:pPr>
      <w:hyperlink w:anchor="_PWToc8">
        <w:r>
          <w:rPr>
            <w:rFonts w:ascii="Segoe UI Light" w:hAnsi="Segoe UI Light"/>
            <w:b w:val="0"/>
            <w:color w:val="64748B"/>
            <w:sz w:val="19"/>
          </w:rPr>
          <w:t>Combined comparisons: resolving the trade-off</w:t>
        </w:r>
      </w:hyperlink>
    </w:p>
    <w:p>
      <w:pPr>
        <w:spacing w:after="40"/>
        <w:ind w:left="340"/>
      </w:pPr>
      <w:hyperlink w:anchor="_PWToc9">
        <w:r>
          <w:rPr>
            <w:rFonts w:ascii="Segoe UI Light" w:hAnsi="Segoe UI Light"/>
            <w:b w:val="0"/>
            <w:color w:val="64748B"/>
            <w:sz w:val="19"/>
          </w:rPr>
          <w:t>What Diagnostics suggests asking</w:t>
        </w:r>
      </w:hyperlink>
    </w:p>
    <w:p>
      <w:pPr>
        <w:spacing w:after="40"/>
        <w:ind w:left="340"/>
      </w:pPr>
      <w:hyperlink w:anchor="_PWToc10">
        <w:r>
          <w:rPr>
            <w:rFonts w:ascii="Segoe UI Light" w:hAnsi="Segoe UI Light"/>
            <w:b w:val="0"/>
            <w:color w:val="64748B"/>
            <w:sz w:val="19"/>
          </w:rPr>
          <w:t>A caution outside the focus</w:t>
        </w:r>
      </w:hyperlink>
    </w:p>
    <w:p>
      <w:pPr>
        <w:spacing w:after="40"/>
      </w:pPr>
      <w:hyperlink w:anchor="_PWToc11">
        <w:r>
          <w:rPr>
            <w:rFonts w:ascii="Segoe UI Light" w:hAnsi="Segoe UI Light"/>
            <w:b/>
            <w:color w:val="1E3A5F"/>
            <w:sz w:val="21"/>
          </w:rPr>
          <w:t>Recommended Next Steps</w:t>
        </w:r>
      </w:hyperlink>
    </w:p>
    <w:p>
      <w:pPr>
        <w:spacing w:after="40"/>
        <w:ind w:left="340"/>
      </w:pPr>
      <w:hyperlink w:anchor="_PWToc12">
        <w:r>
          <w:rPr>
            <w:rFonts w:ascii="Segoe UI Light" w:hAnsi="Segoe UI Light"/>
            <w:b w:val="0"/>
            <w:color w:val="64748B"/>
            <w:sz w:val="19"/>
          </w:rPr>
          <w:t>1. Conduct a first local assessment (executive sponsor; people and safety leads)</w:t>
        </w:r>
      </w:hyperlink>
    </w:p>
    <w:p>
      <w:pPr>
        <w:spacing w:after="40"/>
        <w:ind w:left="340"/>
      </w:pPr>
      <w:hyperlink w:anchor="_PWToc13">
        <w:r>
          <w:rPr>
            <w:rFonts w:ascii="Segoe UI Light" w:hAnsi="Segoe UI Light"/>
            <w:b w:val="0"/>
            <w:color w:val="64748B"/>
            <w:sz w:val="19"/>
          </w:rPr>
          <w:t>2. Act promptly where excessive demand is locally established (operational managers)</w:t>
        </w:r>
      </w:hyperlink>
    </w:p>
    <w:p>
      <w:pPr>
        <w:spacing w:after="40"/>
        <w:ind w:left="340"/>
      </w:pPr>
      <w:hyperlink w:anchor="_PWToc14">
        <w:r>
          <w:rPr>
            <w:rFonts w:ascii="Segoe UI Light" w:hAnsi="Segoe UI Light"/>
            <w:b w:val="0"/>
            <w:color w:val="64748B"/>
            <w:sz w:val="19"/>
          </w:rPr>
          <w:t>3. Identify emotionally demanding roles and confirm supports (people lead with relevant managers)</w:t>
        </w:r>
      </w:hyperlink>
    </w:p>
    <w:p>
      <w:pPr>
        <w:spacing w:after="40"/>
        <w:ind w:left="340"/>
      </w:pPr>
      <w:hyperlink w:anchor="_PWToc15">
        <w:r>
          <w:rPr>
            <w:rFonts w:ascii="Segoe UI Light" w:hAnsi="Segoe UI Light"/>
            <w:b w:val="0"/>
            <w:color w:val="64748B"/>
            <w:sz w:val="19"/>
          </w:rPr>
          <w:t>4. Protect Recognition and Meaningful Work through change (executive team)</w:t>
        </w:r>
      </w:hyperlink>
    </w:p>
    <w:p>
      <w:pPr>
        <w:spacing w:after="40"/>
        <w:ind w:left="340"/>
      </w:pPr>
      <w:hyperlink w:anchor="_PWToc16">
        <w:r>
          <w:rPr>
            <w:rFonts w:ascii="Segoe UI Light" w:hAnsi="Segoe UI Light"/>
            <w:b w:val="0"/>
            <w:color w:val="64748B"/>
            <w:sz w:val="19"/>
          </w:rPr>
          <w:t>5. Develop a combined program rather than a workload program alone (executive team)</w:t>
        </w:r>
      </w:hyperlink>
    </w:p>
    <w:p>
      <w:pPr>
        <w:spacing w:after="40"/>
        <w:ind w:left="340"/>
      </w:pPr>
      <w:hyperlink w:anchor="_PWToc17">
        <w:r>
          <w:rPr>
            <w:rFonts w:ascii="Segoe UI Light" w:hAnsi="Segoe UI Light"/>
            <w:b w:val="0"/>
            <w:color w:val="64748B"/>
            <w:sz w:val="19"/>
          </w:rPr>
          <w:t>6. Check progress against the recorded baseline (people and safety leads; executive review)</w:t>
        </w:r>
      </w:hyperlink>
    </w:p>
    <w:p>
      <w:pPr>
        <w:spacing w:after="40"/>
      </w:pPr>
      <w:hyperlink w:anchor="_PWToc18">
        <w:r>
          <w:rPr>
            <w:rFonts w:ascii="Segoe UI Light" w:hAnsi="Segoe UI Light"/>
            <w:b/>
            <w:color w:val="1E3A5F"/>
            <w:sz w:val="21"/>
          </w:rPr>
          <w:t>Appendix – Supporting Material</w:t>
        </w:r>
      </w:hyperlink>
    </w:p>
    <w:p>
      <w:pPr>
        <w:spacing w:after="40"/>
        <w:ind w:left="340"/>
      </w:pPr>
      <w:hyperlink w:anchor="_PWToc19">
        <w:r>
          <w:rPr>
            <w:rFonts w:ascii="Segoe UI Light" w:hAnsi="Segoe UI Light"/>
            <w:b w:val="0"/>
            <w:color w:val="64748B"/>
            <w:sz w:val="19"/>
          </w:rPr>
          <w:t>A1 – How the Factors Connect</w:t>
        </w:r>
      </w:hyperlink>
    </w:p>
    <w:p>
      <w:pPr>
        <w:spacing w:after="40"/>
        <w:ind w:left="340"/>
      </w:pPr>
      <w:hyperlink w:anchor="_PWToc20">
        <w:r>
          <w:rPr>
            <w:rFonts w:ascii="Segoe UI Light" w:hAnsi="Segoe UI Light"/>
            <w:b w:val="0"/>
            <w:color w:val="64748B"/>
            <w:sz w:val="19"/>
          </w:rPr>
          <w:t>A2 – Starting Model Estimates</w:t>
        </w:r>
      </w:hyperlink>
    </w:p>
    <w:p>
      <w:pPr>
        <w:spacing w:after="40"/>
        <w:ind w:left="340"/>
      </w:pPr>
      <w:hyperlink w:anchor="_PWToc21">
        <w:r>
          <w:rPr>
            <w:rFonts w:ascii="Segoe UI Light" w:hAnsi="Segoe UI Light"/>
            <w:b w:val="0"/>
            <w:color w:val="64748B"/>
            <w:sz w:val="19"/>
          </w:rPr>
          <w:t>A3 – Simple Scenarios: One Factor at a Time</w:t>
        </w:r>
      </w:hyperlink>
    </w:p>
    <w:p>
      <w:pPr>
        <w:spacing w:after="40"/>
        <w:ind w:left="340"/>
      </w:pPr>
      <w:hyperlink w:anchor="_PWToc22">
        <w:r>
          <w:rPr>
            <w:rFonts w:ascii="Segoe UI Light" w:hAnsi="Segoe UI Light"/>
            <w:b w:val="0"/>
            <w:color w:val="64748B"/>
            <w:sz w:val="19"/>
          </w:rPr>
          <w:t>A4 – Combined Scenarios: Factors Moved Together</w:t>
        </w:r>
      </w:hyperlink>
    </w:p>
    <w:p>
      <w:pPr>
        <w:spacing w:after="40"/>
        <w:ind w:left="340"/>
      </w:pPr>
      <w:hyperlink w:anchor="_PWToc23">
        <w:r>
          <w:rPr>
            <w:rFonts w:ascii="Segoe UI Light" w:hAnsi="Segoe UI Light"/>
            <w:b w:val="0"/>
            <w:color w:val="64748B"/>
            <w:sz w:val="19"/>
          </w:rPr>
          <w:t>A5 – Methodology and How to Read These Tables</w:t>
        </w:r>
      </w:hyperlink>
    </w:p>
    <w:p>
      <w:pPr>
        <w:spacing w:after="0"/>
      </w:pPr>
      <w:r>
        <w:fldChar w:fldCharType="end"/>
      </w:r>
    </w:p>
    <w:p>
      <w:pPr>
        <w:spacing w:before="160"/>
      </w:pPr>
      <w:r>
        <w:rPr>
          <w:rFonts w:ascii="Segoe UI Light" w:hAnsi="Segoe UI Light"/>
          <w:i/>
          <w:color w:val="94A3B8"/>
          <w:sz w:val="17"/>
        </w:rPr>
        <w:t>Entries are clickable. For page numbers, right-click the list and choose Update Field.</w:t>
      </w:r>
    </w:p>
    <w:p>
      <w:r>
        <w:br w:type="page"/>
      </w:r>
    </w:p>
    <w:p>
      <w:bookmarkStart w:id="0" w:name="_PWToc0"/>
      <w:pPr>
        <w:pStyle w:val="Heading1"/>
      </w:pPr>
      <w:r>
        <w:rPr>
          <w:rFonts w:ascii="Segoe UI Light" w:hAnsi="Segoe UI Light"/>
          <w:b/>
          <w:color w:val="1E3A5F"/>
          <w:sz w:val="28"/>
        </w:rPr>
        <w:t>Executive Summary</w:t>
      </w:r>
      <w:bookmarkEnd w:id="0"/>
    </w:p>
    <w:p>
      <w:pPr>
        <w:spacing w:after="120"/>
      </w:pPr>
      <w:r>
        <w:rPr>
          <w:rFonts w:ascii="Segoe UI Light" w:hAnsi="Segoe UI Light"/>
          <w:sz w:val="21"/>
        </w:rPr>
        <w:t xml:space="preserve">Test Org, with about 1,200 workers, commissioned this report to guide decisions on psychosocial risk and opportunity across three outcomes: </w:t>
      </w:r>
      <w:r>
        <w:rPr>
          <w:rFonts w:ascii="Segoe UI Light" w:hAnsi="Segoe UI Light"/>
          <w:b/>
          <w:sz w:val="21"/>
        </w:rPr>
        <w:t>Work Engagement</w:t>
      </w:r>
      <w:r>
        <w:rPr>
          <w:rFonts w:ascii="Segoe UI Light" w:hAnsi="Segoe UI Light"/>
          <w:sz w:val="21"/>
        </w:rPr>
        <w:t xml:space="preserve">, </w:t>
      </w:r>
      <w:r>
        <w:rPr>
          <w:rFonts w:ascii="Segoe UI Light" w:hAnsi="Segoe UI Light"/>
          <w:b/>
          <w:sz w:val="21"/>
        </w:rPr>
        <w:t>Burnout</w:t>
      </w:r>
      <w:r>
        <w:rPr>
          <w:rFonts w:ascii="Segoe UI Light" w:hAnsi="Segoe UI Light"/>
          <w:sz w:val="21"/>
        </w:rPr>
        <w:t xml:space="preserve"> and </w:t>
      </w:r>
      <w:r>
        <w:rPr>
          <w:rFonts w:ascii="Segoe UI Light" w:hAnsi="Segoe UI Light"/>
          <w:b/>
          <w:sz w:val="21"/>
        </w:rPr>
        <w:t>Psych Distress</w:t>
      </w:r>
      <w:r>
        <w:rPr>
          <w:rFonts w:ascii="Segoe UI Light" w:hAnsi="Segoe UI Light"/>
          <w:sz w:val="21"/>
        </w:rPr>
        <w:t>. The evidence is a General Australian Workforce model with no record of fitting to Test Org's own responses and no prediction check, so its figures are expectations to be tested locally, not measurements of this workforce. Comparisons assume every worker experienced a given condition.</w:t>
      </w:r>
    </w:p>
    <w:p>
      <w:pPr>
        <w:spacing w:after="120"/>
      </w:pPr>
      <w:r>
        <w:rPr>
          <w:rFonts w:ascii="Segoe UI Light" w:hAnsi="Segoe UI Light"/>
          <w:sz w:val="21"/>
        </w:rPr>
        <w:t xml:space="preserve">The model estimates about 26% of workers in the high </w:t>
      </w:r>
      <w:r>
        <w:rPr>
          <w:rFonts w:ascii="Segoe UI Light" w:hAnsi="Segoe UI Light"/>
          <w:b/>
          <w:sz w:val="21"/>
        </w:rPr>
        <w:t>Burnout</w:t>
      </w:r>
      <w:r>
        <w:rPr>
          <w:rFonts w:ascii="Segoe UI Light" w:hAnsi="Segoe UI Light"/>
          <w:sz w:val="21"/>
        </w:rPr>
        <w:t xml:space="preserve"> category, about 18% in high </w:t>
      </w:r>
      <w:r>
        <w:rPr>
          <w:rFonts w:ascii="Segoe UI Light" w:hAnsi="Segoe UI Light"/>
          <w:b/>
          <w:sz w:val="21"/>
        </w:rPr>
        <w:t>Psych Distress</w:t>
      </w:r>
      <w:r>
        <w:rPr>
          <w:rFonts w:ascii="Segoe UI Light" w:hAnsi="Segoe UI Light"/>
          <w:sz w:val="21"/>
        </w:rPr>
        <w:t xml:space="preserve"> and only about 34% in high </w:t>
      </w:r>
      <w:r>
        <w:rPr>
          <w:rFonts w:ascii="Segoe UI Light" w:hAnsi="Segoe UI Light"/>
          <w:b/>
          <w:sz w:val="21"/>
        </w:rPr>
        <w:t>Work Engagement</w:t>
      </w:r>
      <w:r>
        <w:rPr>
          <w:rFonts w:ascii="Segoe UI Light" w:hAnsi="Segoe UI Light"/>
          <w:sz w:val="21"/>
        </w:rPr>
        <w:t xml:space="preserve">. Five factors were selected as most useful. Low </w:t>
      </w:r>
      <w:r>
        <w:rPr>
          <w:rFonts w:ascii="Segoe UI Light" w:hAnsi="Segoe UI Light"/>
          <w:b/>
          <w:sz w:val="21"/>
        </w:rPr>
        <w:t>Role Overload</w:t>
      </w:r>
      <w:r>
        <w:rPr>
          <w:rFonts w:ascii="Segoe UI Light" w:hAnsi="Segoe UI Light"/>
          <w:sz w:val="21"/>
        </w:rPr>
        <w:t xml:space="preserve"> is the largest lever on </w:t>
      </w:r>
      <w:r>
        <w:rPr>
          <w:rFonts w:ascii="Segoe UI Light" w:hAnsi="Segoe UI Light"/>
          <w:b/>
          <w:sz w:val="21"/>
        </w:rPr>
        <w:t>Burnout</w:t>
      </w:r>
      <w:r>
        <w:rPr>
          <w:rFonts w:ascii="Segoe UI Light" w:hAnsi="Segoe UI Light"/>
          <w:sz w:val="21"/>
        </w:rPr>
        <w:t xml:space="preserve">, reducing the high category by about 15 percentage points, but on its own slightly lowers engagement. Low </w:t>
      </w:r>
      <w:r>
        <w:rPr>
          <w:rFonts w:ascii="Segoe UI Light" w:hAnsi="Segoe UI Light"/>
          <w:b/>
          <w:sz w:val="21"/>
        </w:rPr>
        <w:t>Work Life Conflict</w:t>
      </w:r>
      <w:r>
        <w:rPr>
          <w:rFonts w:ascii="Segoe UI Light" w:hAnsi="Segoe UI Light"/>
          <w:sz w:val="21"/>
        </w:rPr>
        <w:t xml:space="preserve"> improves all three outcomes, reducing high </w:t>
      </w:r>
      <w:r>
        <w:rPr>
          <w:rFonts w:ascii="Segoe UI Light" w:hAnsi="Segoe UI Light"/>
          <w:b/>
          <w:sz w:val="21"/>
        </w:rPr>
        <w:t>Burnout</w:t>
      </w:r>
      <w:r>
        <w:rPr>
          <w:rFonts w:ascii="Segoe UI Light" w:hAnsi="Segoe UI Light"/>
          <w:sz w:val="21"/>
        </w:rPr>
        <w:t xml:space="preserve"> and high </w:t>
      </w:r>
      <w:r>
        <w:rPr>
          <w:rFonts w:ascii="Segoe UI Light" w:hAnsi="Segoe UI Light"/>
          <w:b/>
          <w:sz w:val="21"/>
        </w:rPr>
        <w:t>Psych Distress</w:t>
      </w:r>
      <w:r>
        <w:rPr>
          <w:rFonts w:ascii="Segoe UI Light" w:hAnsi="Segoe UI Light"/>
          <w:sz w:val="21"/>
        </w:rPr>
        <w:t xml:space="preserve"> by about 9 and 8 points and lifting high engagement by about 7 points. </w:t>
      </w:r>
      <w:r>
        <w:rPr>
          <w:rFonts w:ascii="Segoe UI Light" w:hAnsi="Segoe UI Light"/>
          <w:b/>
          <w:sz w:val="21"/>
        </w:rPr>
        <w:t>Recognition</w:t>
      </w:r>
      <w:r>
        <w:rPr>
          <w:rFonts w:ascii="Segoe UI Light" w:hAnsi="Segoe UI Light"/>
          <w:sz w:val="21"/>
        </w:rPr>
        <w:t xml:space="preserve"> and </w:t>
      </w:r>
      <w:r>
        <w:rPr>
          <w:rFonts w:ascii="Segoe UI Light" w:hAnsi="Segoe UI Light"/>
          <w:b/>
          <w:sz w:val="21"/>
        </w:rPr>
        <w:t>Meaningful Work</w:t>
      </w:r>
      <w:r>
        <w:rPr>
          <w:rFonts w:ascii="Segoe UI Light" w:hAnsi="Segoe UI Light"/>
          <w:sz w:val="21"/>
        </w:rPr>
        <w:t xml:space="preserve"> are estimated strengths and the main drivers of engagement; losing them would cut high engagement to around 16% and 9% respectively. </w:t>
      </w:r>
      <w:r>
        <w:rPr>
          <w:rFonts w:ascii="Segoe UI Light" w:hAnsi="Segoe UI Light"/>
          <w:b/>
          <w:sz w:val="21"/>
        </w:rPr>
        <w:t>Emotional Demand</w:t>
      </w:r>
      <w:r>
        <w:rPr>
          <w:rFonts w:ascii="Segoe UI Light" w:hAnsi="Segoe UI Light"/>
          <w:sz w:val="21"/>
        </w:rPr>
        <w:t xml:space="preserve"> is a </w:t>
      </w:r>
      <w:r>
        <w:rPr>
          <w:rFonts w:ascii="Segoe UI Light" w:hAnsi="Segoe UI Light"/>
          <w:b/>
          <w:sz w:val="21"/>
        </w:rPr>
        <w:t>Burnout</w:t>
      </w:r>
      <w:r>
        <w:rPr>
          <w:rFonts w:ascii="Segoe UI Light" w:hAnsi="Segoe UI Light"/>
          <w:sz w:val="21"/>
        </w:rPr>
        <w:t xml:space="preserve"> risk that is best examined at role and team level in a first local assessment. Combining low </w:t>
      </w:r>
      <w:r>
        <w:rPr>
          <w:rFonts w:ascii="Segoe UI Light" w:hAnsi="Segoe UI Light"/>
          <w:b/>
          <w:sz w:val="21"/>
        </w:rPr>
        <w:t>Role Overload</w:t>
      </w:r>
      <w:r>
        <w:rPr>
          <w:rFonts w:ascii="Segoe UI Light" w:hAnsi="Segoe UI Light"/>
          <w:sz w:val="21"/>
        </w:rPr>
        <w:t xml:space="preserve"> with high </w:t>
      </w:r>
      <w:r>
        <w:rPr>
          <w:rFonts w:ascii="Segoe UI Light" w:hAnsi="Segoe UI Light"/>
          <w:b/>
          <w:sz w:val="21"/>
        </w:rPr>
        <w:t>Recognition</w:t>
      </w:r>
      <w:r>
        <w:rPr>
          <w:rFonts w:ascii="Segoe UI Light" w:hAnsi="Segoe UI Light"/>
          <w:sz w:val="21"/>
        </w:rPr>
        <w:t xml:space="preserve"> and </w:t>
      </w:r>
      <w:r>
        <w:rPr>
          <w:rFonts w:ascii="Segoe UI Light" w:hAnsi="Segoe UI Light"/>
          <w:b/>
          <w:sz w:val="21"/>
        </w:rPr>
        <w:t>Meaningful Work</w:t>
      </w:r>
      <w:r>
        <w:rPr>
          <w:rFonts w:ascii="Segoe UI Light" w:hAnsi="Segoe UI Light"/>
          <w:sz w:val="21"/>
        </w:rPr>
        <w:t xml:space="preserve"> removes the trade-off, with high </w:t>
      </w:r>
      <w:r>
        <w:rPr>
          <w:rFonts w:ascii="Segoe UI Light" w:hAnsi="Segoe UI Light"/>
          <w:b/>
          <w:sz w:val="21"/>
        </w:rPr>
        <w:t>Burnout</w:t>
      </w:r>
      <w:r>
        <w:rPr>
          <w:rFonts w:ascii="Segoe UI Light" w:hAnsi="Segoe UI Light"/>
          <w:sz w:val="21"/>
        </w:rPr>
        <w:t xml:space="preserve"> falling to about 6% and high engagement rising to about 56%.</w:t>
      </w:r>
    </w:p>
    <w:p>
      <w:pPr>
        <w:spacing w:after="120"/>
      </w:pPr>
      <w:r>
        <w:rPr>
          <w:rFonts w:ascii="Segoe UI Light" w:hAnsi="Segoe UI Light"/>
          <w:sz w:val="21"/>
        </w:rPr>
        <w:t>The next decisions are to commission a first local assessment to establish a baseline, act promptly where excessive demand is found, protect recognition and meaning through change, and build a combined program rather than a workload program alone. Other factors can be explored in Data Analytics at priorwork.au.</w:t>
      </w:r>
    </w:p>
    <w:p>
      <w:r>
        <w:br w:type="page"/>
      </w:r>
    </w:p>
    <w:p>
      <w:bookmarkStart w:id="1" w:name="_PWToc1"/>
      <w:pPr>
        <w:pStyle w:val="Heading1"/>
      </w:pPr>
      <w:r>
        <w:rPr>
          <w:rFonts w:ascii="Segoe UI Light" w:hAnsi="Segoe UI Light"/>
          <w:b/>
          <w:color w:val="1E3A5F"/>
          <w:sz w:val="28"/>
        </w:rPr>
        <w:t>Context and Approach</w:t>
      </w:r>
      <w:bookmarkEnd w:id="1"/>
    </w:p>
    <w:p>
      <w:pPr>
        <w:spacing w:after="120"/>
      </w:pPr>
      <w:r>
        <w:rPr>
          <w:rFonts w:ascii="Segoe UI Light" w:hAnsi="Segoe UI Light"/>
          <w:sz w:val="21"/>
        </w:rPr>
        <w:t xml:space="preserve">Test Org, an organisation of about 1,200 workers, commissioned this report to help its senior leaders decide where to direct attention and resources in managing psychosocial risks and opportunities at work. The report focuses on three outcomes: </w:t>
      </w:r>
      <w:r>
        <w:rPr>
          <w:rFonts w:ascii="Segoe UI Light" w:hAnsi="Segoe UI Light"/>
          <w:b/>
          <w:sz w:val="21"/>
        </w:rPr>
        <w:t>Work Engagement</w:t>
      </w:r>
      <w:r>
        <w:rPr>
          <w:rFonts w:ascii="Segoe UI Light" w:hAnsi="Segoe UI Light"/>
          <w:sz w:val="21"/>
        </w:rPr>
        <w:t xml:space="preserve"> (feeling energetic, dedicated and absorbed in work), </w:t>
      </w:r>
      <w:r>
        <w:rPr>
          <w:rFonts w:ascii="Segoe UI Light" w:hAnsi="Segoe UI Light"/>
          <w:b/>
          <w:sz w:val="21"/>
        </w:rPr>
        <w:t>Burnout</w:t>
      </w:r>
      <w:r>
        <w:rPr>
          <w:rFonts w:ascii="Segoe UI Light" w:hAnsi="Segoe UI Light"/>
          <w:sz w:val="21"/>
        </w:rPr>
        <w:t xml:space="preserve"> (exhaustion and detachment after prolonged work-related stress) and </w:t>
      </w:r>
      <w:r>
        <w:rPr>
          <w:rFonts w:ascii="Segoe UI Light" w:hAnsi="Segoe UI Light"/>
          <w:b/>
          <w:sz w:val="21"/>
        </w:rPr>
        <w:t>Psych Distress</w:t>
      </w:r>
      <w:r>
        <w:rPr>
          <w:rFonts w:ascii="Segoe UI Light" w:hAnsi="Segoe UI Light"/>
          <w:sz w:val="21"/>
        </w:rPr>
        <w:t xml:space="preserve"> (anxiety, hopelessness or low mood). It examines five workplace factors selected as the most useful for the next decision: </w:t>
      </w:r>
      <w:r>
        <w:rPr>
          <w:rFonts w:ascii="Segoe UI Light" w:hAnsi="Segoe UI Light"/>
          <w:b/>
          <w:sz w:val="21"/>
        </w:rPr>
        <w:t>Role Overload</w:t>
      </w:r>
      <w:r>
        <w:rPr>
          <w:rFonts w:ascii="Segoe UI Light" w:hAnsi="Segoe UI Light"/>
          <w:sz w:val="21"/>
        </w:rPr>
        <w:t xml:space="preserve">, </w:t>
      </w:r>
      <w:r>
        <w:rPr>
          <w:rFonts w:ascii="Segoe UI Light" w:hAnsi="Segoe UI Light"/>
          <w:b/>
          <w:sz w:val="21"/>
        </w:rPr>
        <w:t>Work Life Conflict</w:t>
      </w:r>
      <w:r>
        <w:rPr>
          <w:rFonts w:ascii="Segoe UI Light" w:hAnsi="Segoe UI Light"/>
          <w:sz w:val="21"/>
        </w:rPr>
        <w:t xml:space="preserve">, </w:t>
      </w:r>
      <w:r>
        <w:rPr>
          <w:rFonts w:ascii="Segoe UI Light" w:hAnsi="Segoe UI Light"/>
          <w:b/>
          <w:sz w:val="21"/>
        </w:rPr>
        <w:t>Recognition</w:t>
      </w:r>
      <w:r>
        <w:rPr>
          <w:rFonts w:ascii="Segoe UI Light" w:hAnsi="Segoe UI Light"/>
          <w:sz w:val="21"/>
        </w:rPr>
        <w:t xml:space="preserve">, </w:t>
      </w:r>
      <w:r>
        <w:rPr>
          <w:rFonts w:ascii="Segoe UI Light" w:hAnsi="Segoe UI Light"/>
          <w:b/>
          <w:sz w:val="21"/>
        </w:rPr>
        <w:t>Meaningful Work</w:t>
      </w:r>
      <w:r>
        <w:rPr>
          <w:rFonts w:ascii="Segoe UI Light" w:hAnsi="Segoe UI Light"/>
          <w:sz w:val="21"/>
        </w:rPr>
        <w:t xml:space="preserve"> and </w:t>
      </w:r>
      <w:r>
        <w:rPr>
          <w:rFonts w:ascii="Segoe UI Light" w:hAnsi="Segoe UI Light"/>
          <w:b/>
          <w:sz w:val="21"/>
        </w:rPr>
        <w:t>Emotional Demand</w:t>
      </w:r>
      <w:r>
        <w:rPr>
          <w:rFonts w:ascii="Segoe UI Light" w:hAnsi="Segoe UI Light"/>
          <w:sz w:val="21"/>
        </w:rPr>
        <w:t>. It is a starting point, not a complete account; other factors remain available to explore in Data Analytics at priorwork.au.</w:t>
      </w:r>
    </w:p>
    <w:p>
      <w:pPr>
        <w:spacing w:after="120"/>
      </w:pPr>
      <w:r>
        <w:rPr>
          <w:rFonts w:ascii="Segoe UI Light" w:hAnsi="Segoe UI Light"/>
          <w:sz w:val="21"/>
        </w:rPr>
        <w:t>The evidence comes from a model labelled General Australian Workforce. Its source is unrecorded: there is no record of it being fitted to Test Org's own worker responses, no recorded observation count, and no prediction check on its accuracy. The sector label does not, on its own, establish that the figures describe Test Org, and the estimates are point estimates with no uncertainty ranges. The findings should therefore be read as a structured set of expectations about how working conditions and outcomes tend to relate, to be tested locally, rather than as a measurement of this workforce. No local baseline or earlier assessment is recorded, and no existing initiatives or risk register entries were supplied.</w:t>
      </w:r>
    </w:p>
    <w:p>
      <w:pPr>
        <w:spacing w:after="120"/>
      </w:pPr>
      <w:r>
        <w:rPr>
          <w:rFonts w:ascii="Segoe UI Light" w:hAnsi="Segoe UI Light"/>
          <w:sz w:val="21"/>
        </w:rPr>
        <w:t xml:space="preserve">Each factor and outcome is described in three categories: high (H), medium (M) and low (L). The model estimates the share of workers likely to fall in each category. For </w:t>
      </w:r>
      <w:r>
        <w:rPr>
          <w:rFonts w:ascii="Segoe UI Light" w:hAnsi="Segoe UI Light"/>
          <w:b/>
          <w:sz w:val="21"/>
        </w:rPr>
        <w:t>Burnout</w:t>
      </w:r>
      <w:r>
        <w:rPr>
          <w:rFonts w:ascii="Segoe UI Light" w:hAnsi="Segoe UI Light"/>
          <w:sz w:val="21"/>
        </w:rPr>
        <w:t xml:space="preserve"> and </w:t>
      </w:r>
      <w:r>
        <w:rPr>
          <w:rFonts w:ascii="Segoe UI Light" w:hAnsi="Segoe UI Light"/>
          <w:b/>
          <w:sz w:val="21"/>
        </w:rPr>
        <w:t>Psych Distress</w:t>
      </w:r>
      <w:r>
        <w:rPr>
          <w:rFonts w:ascii="Segoe UI Light" w:hAnsi="Segoe UI Light"/>
          <w:sz w:val="21"/>
        </w:rPr>
        <w:t xml:space="preserve">, the high category is the adverse one; for </w:t>
      </w:r>
      <w:r>
        <w:rPr>
          <w:rFonts w:ascii="Segoe UI Light" w:hAnsi="Segoe UI Light"/>
          <w:b/>
          <w:sz w:val="21"/>
        </w:rPr>
        <w:t>Work Engagement</w:t>
      </w:r>
      <w:r>
        <w:rPr>
          <w:rFonts w:ascii="Segoe UI Light" w:hAnsi="Segoe UI Light"/>
          <w:sz w:val="21"/>
        </w:rPr>
        <w:t>, the high category is the favourable one. Modelled comparisons ask a hypothetical question: if every worker experienced a specified level of a factor, how would the share in each outcome category change compared with the starting position? These whole-population comparisons are not predictions of what a particular program would achieve, because no real change moves everyone at once. Differences are reported in percentage points.</w:t>
      </w:r>
    </w:p>
    <w:p>
      <w:pPr>
        <w:spacing w:after="120"/>
      </w:pPr>
      <w:r>
        <w:rPr>
          <w:rFonts w:ascii="Segoe UI Light" w:hAnsi="Segoe UI Light"/>
          <w:sz w:val="21"/>
        </w:rPr>
        <w:t xml:space="preserve">Data Analytics also includes a Diagnostics view that works in the opposite direction. Instead of changing a factor and reading off the outcome, it starts from an outcome of concern, such as low </w:t>
      </w:r>
      <w:r>
        <w:rPr>
          <w:rFonts w:ascii="Segoe UI Light" w:hAnsi="Segoe UI Light"/>
          <w:b/>
          <w:sz w:val="21"/>
        </w:rPr>
        <w:t>Work Engagement</w:t>
      </w:r>
      <w:r>
        <w:rPr>
          <w:rFonts w:ascii="Segoe UI Light" w:hAnsi="Segoe UI Light"/>
          <w:sz w:val="21"/>
        </w:rPr>
        <w:t>, and estimates which working conditions are more likely to be present alongside it. This does not establish causes or explain any individual's situation, but it does help to shape consultation and investigation questions.</w:t>
      </w:r>
    </w:p>
    <w:p>
      <w:bookmarkStart w:id="2" w:name="_PWToc2"/>
      <w:pPr>
        <w:pStyle w:val="Heading1"/>
      </w:pPr>
      <w:r>
        <w:rPr>
          <w:rFonts w:ascii="Segoe UI Light" w:hAnsi="Segoe UI Light"/>
          <w:b/>
          <w:color w:val="1E3A5F"/>
          <w:sz w:val="28"/>
        </w:rPr>
        <w:t>Findings and What They Mean</w:t>
      </w:r>
      <w:bookmarkEnd w:id="2"/>
    </w:p>
    <w:p>
      <w:bookmarkStart w:id="3" w:name="_PWToc3"/>
      <w:pPr>
        <w:pStyle w:val="Heading2"/>
      </w:pPr>
      <w:r>
        <w:rPr>
          <w:rFonts w:ascii="Segoe UI Light" w:hAnsi="Segoe UI Light"/>
          <w:b/>
          <w:color w:val="2D5A8E"/>
          <w:sz w:val="22"/>
        </w:rPr>
        <w:t>The starting position</w:t>
      </w:r>
      <w:bookmarkEnd w:id="3"/>
    </w:p>
    <w:p>
      <w:pPr>
        <w:spacing w:after="120"/>
      </w:pPr>
      <w:r>
        <w:rPr>
          <w:rFonts w:ascii="Segoe UI Light" w:hAnsi="Segoe UI Light"/>
          <w:sz w:val="21"/>
        </w:rPr>
        <w:t xml:space="preserve">The model's starting estimates give a sense of scale. About 26% of workers are estimated to sit in the high </w:t>
      </w:r>
      <w:r>
        <w:rPr>
          <w:rFonts w:ascii="Segoe UI Light" w:hAnsi="Segoe UI Light"/>
          <w:b/>
          <w:sz w:val="21"/>
        </w:rPr>
        <w:t>Burnout</w:t>
      </w:r>
      <w:r>
        <w:rPr>
          <w:rFonts w:ascii="Segoe UI Light" w:hAnsi="Segoe UI Light"/>
          <w:sz w:val="21"/>
        </w:rPr>
        <w:t xml:space="preserve"> category and about 18% in the high </w:t>
      </w:r>
      <w:r>
        <w:rPr>
          <w:rFonts w:ascii="Segoe UI Light" w:hAnsi="Segoe UI Light"/>
          <w:b/>
          <w:sz w:val="21"/>
        </w:rPr>
        <w:t>Psych Distress</w:t>
      </w:r>
      <w:r>
        <w:rPr>
          <w:rFonts w:ascii="Segoe UI Light" w:hAnsi="Segoe UI Light"/>
          <w:sz w:val="21"/>
        </w:rPr>
        <w:t xml:space="preserve"> category. Only about 34% are estimated to sit in the high </w:t>
      </w:r>
      <w:r>
        <w:rPr>
          <w:rFonts w:ascii="Segoe UI Light" w:hAnsi="Segoe UI Light"/>
          <w:b/>
          <w:sz w:val="21"/>
        </w:rPr>
        <w:t>Work Engagement</w:t>
      </w:r>
      <w:r>
        <w:rPr>
          <w:rFonts w:ascii="Segoe UI Light" w:hAnsi="Segoe UI Light"/>
          <w:sz w:val="21"/>
        </w:rPr>
        <w:t xml:space="preserve"> category, with about 18% in the low category and the remainder in the middle. Among the five focus factors, about 25% of workers are estimated to experience high </w:t>
      </w:r>
      <w:r>
        <w:rPr>
          <w:rFonts w:ascii="Segoe UI Light" w:hAnsi="Segoe UI Light"/>
          <w:b/>
          <w:sz w:val="21"/>
        </w:rPr>
        <w:t>Role Overload</w:t>
      </w:r>
      <w:r>
        <w:rPr>
          <w:rFonts w:ascii="Segoe UI Light" w:hAnsi="Segoe UI Light"/>
          <w:sz w:val="21"/>
        </w:rPr>
        <w:t xml:space="preserve">, about 20% high </w:t>
      </w:r>
      <w:r>
        <w:rPr>
          <w:rFonts w:ascii="Segoe UI Light" w:hAnsi="Segoe UI Light"/>
          <w:b/>
          <w:sz w:val="21"/>
        </w:rPr>
        <w:t>Work Life Conflict</w:t>
      </w:r>
      <w:r>
        <w:rPr>
          <w:rFonts w:ascii="Segoe UI Light" w:hAnsi="Segoe UI Light"/>
          <w:sz w:val="21"/>
        </w:rPr>
        <w:t xml:space="preserve"> and about 22% high </w:t>
      </w:r>
      <w:r>
        <w:rPr>
          <w:rFonts w:ascii="Segoe UI Light" w:hAnsi="Segoe UI Light"/>
          <w:b/>
          <w:sz w:val="21"/>
        </w:rPr>
        <w:t>Emotional Demand</w:t>
      </w:r>
      <w:r>
        <w:rPr>
          <w:rFonts w:ascii="Segoe UI Light" w:hAnsi="Segoe UI Light"/>
          <w:sz w:val="21"/>
        </w:rPr>
        <w:t xml:space="preserve">. On the positive side, about 50% are estimated to experience high </w:t>
      </w:r>
      <w:r>
        <w:rPr>
          <w:rFonts w:ascii="Segoe UI Light" w:hAnsi="Segoe UI Light"/>
          <w:b/>
          <w:sz w:val="21"/>
        </w:rPr>
        <w:t>Recognition</w:t>
      </w:r>
      <w:r>
        <w:rPr>
          <w:rFonts w:ascii="Segoe UI Light" w:hAnsi="Segoe UI Light"/>
          <w:sz w:val="21"/>
        </w:rPr>
        <w:t xml:space="preserve"> and about 55% high </w:t>
      </w:r>
      <w:r>
        <w:rPr>
          <w:rFonts w:ascii="Segoe UI Light" w:hAnsi="Segoe UI Light"/>
          <w:b/>
          <w:sz w:val="21"/>
        </w:rPr>
        <w:t>Meaningful Work</w:t>
      </w:r>
      <w:r>
        <w:rPr>
          <w:rFonts w:ascii="Segoe UI Light" w:hAnsi="Segoe UI Light"/>
          <w:sz w:val="21"/>
        </w:rPr>
        <w:t>, with only about 17% and 15% respectively in the low categories. These are general-workforce expectations, and a first local assessment is needed to confirm whether they hold at Test Org.</w:t>
      </w:r>
    </w:p>
    <w:p>
      <w:bookmarkStart w:id="4" w:name="_PWToc4"/>
      <w:pPr>
        <w:pStyle w:val="Heading2"/>
      </w:pPr>
      <w:r>
        <w:rPr>
          <w:rFonts w:ascii="Segoe UI Light" w:hAnsi="Segoe UI Light"/>
          <w:b/>
          <w:color w:val="2D5A8E"/>
          <w:sz w:val="22"/>
        </w:rPr>
        <w:t>Role Overload: the largest lever on Burnout, with a trade-off</w:t>
      </w:r>
      <w:bookmarkEnd w:id="4"/>
    </w:p>
    <w:p>
      <w:pPr>
        <w:spacing w:after="120"/>
      </w:pPr>
      <w:r>
        <w:rPr>
          <w:rFonts w:ascii="Segoe UI Light" w:hAnsi="Segoe UI Light"/>
          <w:b/>
          <w:sz w:val="21"/>
        </w:rPr>
        <w:t>Role Overload</w:t>
      </w:r>
      <w:r>
        <w:rPr>
          <w:rFonts w:ascii="Segoe UI Light" w:hAnsi="Segoe UI Light"/>
          <w:sz w:val="21"/>
        </w:rPr>
        <w:t xml:space="preserve"> describes the experience that the amount, pace or time pressure of work exceeds what a person can reasonably manage. In the model, it has the strongest single link to </w:t>
      </w:r>
      <w:r>
        <w:rPr>
          <w:rFonts w:ascii="Segoe UI Light" w:hAnsi="Segoe UI Light"/>
          <w:b/>
          <w:sz w:val="21"/>
        </w:rPr>
        <w:t>Burnout</w:t>
      </w:r>
      <w:r>
        <w:rPr>
          <w:rFonts w:ascii="Segoe UI Light" w:hAnsi="Segoe UI Light"/>
          <w:sz w:val="21"/>
        </w:rPr>
        <w:t xml:space="preserve">. If every worker experienced low </w:t>
      </w:r>
      <w:r>
        <w:rPr>
          <w:rFonts w:ascii="Segoe UI Light" w:hAnsi="Segoe UI Light"/>
          <w:b/>
          <w:sz w:val="21"/>
        </w:rPr>
        <w:t>Role Overload</w:t>
      </w:r>
      <w:r>
        <w:rPr>
          <w:rFonts w:ascii="Segoe UI Light" w:hAnsi="Segoe UI Light"/>
          <w:sz w:val="21"/>
        </w:rPr>
        <w:t xml:space="preserve">, the share in the high </w:t>
      </w:r>
      <w:r>
        <w:rPr>
          <w:rFonts w:ascii="Segoe UI Light" w:hAnsi="Segoe UI Light"/>
          <w:b/>
          <w:sz w:val="21"/>
        </w:rPr>
        <w:t>Burnout</w:t>
      </w:r>
      <w:r>
        <w:rPr>
          <w:rFonts w:ascii="Segoe UI Light" w:hAnsi="Segoe UI Light"/>
          <w:sz w:val="21"/>
        </w:rPr>
        <w:t xml:space="preserve"> category is estimated to fall from about 26% to about 10%, a reduction of around 15 percentage points. The share in the high </w:t>
      </w:r>
      <w:r>
        <w:rPr>
          <w:rFonts w:ascii="Segoe UI Light" w:hAnsi="Segoe UI Light"/>
          <w:b/>
          <w:sz w:val="21"/>
        </w:rPr>
        <w:t>Psych Distress</w:t>
      </w:r>
      <w:r>
        <w:rPr>
          <w:rFonts w:ascii="Segoe UI Light" w:hAnsi="Segoe UI Light"/>
          <w:sz w:val="21"/>
        </w:rPr>
        <w:t xml:space="preserve"> category is estimated to fall from about 18% to about 11%, a reduction of around 7 percentage points. The reverse scenario is also informative: if everyone experienced high </w:t>
      </w:r>
      <w:r>
        <w:rPr>
          <w:rFonts w:ascii="Segoe UI Light" w:hAnsi="Segoe UI Light"/>
          <w:b/>
          <w:sz w:val="21"/>
        </w:rPr>
        <w:t>Role Overload</w:t>
      </w:r>
      <w:r>
        <w:rPr>
          <w:rFonts w:ascii="Segoe UI Light" w:hAnsi="Segoe UI Light"/>
          <w:sz w:val="21"/>
        </w:rPr>
        <w:t xml:space="preserve">, high </w:t>
      </w:r>
      <w:r>
        <w:rPr>
          <w:rFonts w:ascii="Segoe UI Light" w:hAnsi="Segoe UI Light"/>
          <w:b/>
          <w:sz w:val="21"/>
        </w:rPr>
        <w:t>Burnout</w:t>
      </w:r>
      <w:r>
        <w:rPr>
          <w:rFonts w:ascii="Segoe UI Light" w:hAnsi="Segoe UI Light"/>
          <w:sz w:val="21"/>
        </w:rPr>
        <w:t xml:space="preserve"> rises to about 46%, an increase of around 20 percentage points.</w:t>
      </w:r>
    </w:p>
    <w:p>
      <w:pPr>
        <w:spacing w:after="120"/>
      </w:pPr>
      <w:r>
        <w:rPr>
          <w:rFonts w:ascii="Segoe UI Light" w:hAnsi="Segoe UI Light"/>
          <w:sz w:val="21"/>
        </w:rPr>
        <w:t xml:space="preserve">There is a trade-off to report faithfully. Low </w:t>
      </w:r>
      <w:r>
        <w:rPr>
          <w:rFonts w:ascii="Segoe UI Light" w:hAnsi="Segoe UI Light"/>
          <w:b/>
          <w:sz w:val="21"/>
        </w:rPr>
        <w:t>Role Overload</w:t>
      </w:r>
      <w:r>
        <w:rPr>
          <w:rFonts w:ascii="Segoe UI Light" w:hAnsi="Segoe UI Light"/>
          <w:sz w:val="21"/>
        </w:rPr>
        <w:t xml:space="preserve"> on its own slightly worsens </w:t>
      </w:r>
      <w:r>
        <w:rPr>
          <w:rFonts w:ascii="Segoe UI Light" w:hAnsi="Segoe UI Light"/>
          <w:b/>
          <w:sz w:val="21"/>
        </w:rPr>
        <w:t>Work Engagement</w:t>
      </w:r>
      <w:r>
        <w:rPr>
          <w:rFonts w:ascii="Segoe UI Light" w:hAnsi="Segoe UI Light"/>
          <w:sz w:val="21"/>
        </w:rPr>
        <w:t>: the high category falls by about 1.1 percentage points and the low category rises by about 1.8 percentage points. These shifts are small, but they suggest that simply removing pressure does not create enthusiasm for the work. This matters for how workload is managed: reducing excessive demand protects against exhaustion, but engagement depends on other conditions, which the combined comparisons below address.</w:t>
      </w:r>
    </w:p>
    <w:p>
      <w:bookmarkStart w:id="5" w:name="_PWToc5"/>
      <w:pPr>
        <w:pStyle w:val="Heading2"/>
      </w:pPr>
      <w:r>
        <w:rPr>
          <w:rFonts w:ascii="Segoe UI Light" w:hAnsi="Segoe UI Light"/>
          <w:b/>
          <w:color w:val="2D5A8E"/>
          <w:sz w:val="22"/>
        </w:rPr>
        <w:t>Work Life Conflict: consistent gains across all three outcomes</w:t>
      </w:r>
      <w:bookmarkEnd w:id="5"/>
    </w:p>
    <w:p>
      <w:pPr>
        <w:spacing w:after="120"/>
      </w:pPr>
      <w:r>
        <w:rPr>
          <w:rFonts w:ascii="Segoe UI Light" w:hAnsi="Segoe UI Light"/>
          <w:b/>
          <w:sz w:val="21"/>
        </w:rPr>
        <w:t>Work Life Conflict</w:t>
      </w:r>
      <w:r>
        <w:rPr>
          <w:rFonts w:ascii="Segoe UI Light" w:hAnsi="Segoe UI Light"/>
          <w:sz w:val="21"/>
        </w:rPr>
        <w:t xml:space="preserve"> describes work demands interfering with home life, relationships and other responsibilities. Like </w:t>
      </w:r>
      <w:r>
        <w:rPr>
          <w:rFonts w:ascii="Segoe UI Light" w:hAnsi="Segoe UI Light"/>
          <w:b/>
          <w:sz w:val="21"/>
        </w:rPr>
        <w:t>Recognition</w:t>
      </w:r>
      <w:r>
        <w:rPr>
          <w:rFonts w:ascii="Segoe UI Light" w:hAnsi="Segoe UI Light"/>
          <w:sz w:val="21"/>
        </w:rPr>
        <w:t xml:space="preserve"> and </w:t>
      </w:r>
      <w:r>
        <w:rPr>
          <w:rFonts w:ascii="Segoe UI Light" w:hAnsi="Segoe UI Light"/>
          <w:b/>
          <w:sz w:val="21"/>
        </w:rPr>
        <w:t>Meaningful Work</w:t>
      </w:r>
      <w:r>
        <w:rPr>
          <w:rFonts w:ascii="Segoe UI Light" w:hAnsi="Segoe UI Light"/>
          <w:sz w:val="21"/>
        </w:rPr>
        <w:t xml:space="preserve">, it improves all three outcomes, and among the focus factors it has the most even spread of gains across them. If every worker experienced low </w:t>
      </w:r>
      <w:r>
        <w:rPr>
          <w:rFonts w:ascii="Segoe UI Light" w:hAnsi="Segoe UI Light"/>
          <w:b/>
          <w:sz w:val="21"/>
        </w:rPr>
        <w:t>Work Life Conflict</w:t>
      </w:r>
      <w:r>
        <w:rPr>
          <w:rFonts w:ascii="Segoe UI Light" w:hAnsi="Segoe UI Light"/>
          <w:sz w:val="21"/>
        </w:rPr>
        <w:t xml:space="preserve">, high </w:t>
      </w:r>
      <w:r>
        <w:rPr>
          <w:rFonts w:ascii="Segoe UI Light" w:hAnsi="Segoe UI Light"/>
          <w:b/>
          <w:sz w:val="21"/>
        </w:rPr>
        <w:t>Burnout</w:t>
      </w:r>
      <w:r>
        <w:rPr>
          <w:rFonts w:ascii="Segoe UI Light" w:hAnsi="Segoe UI Light"/>
          <w:sz w:val="21"/>
        </w:rPr>
        <w:t xml:space="preserve"> is estimated to fall from about 26% to about 16% (around 9 percentage points), high </w:t>
      </w:r>
      <w:r>
        <w:rPr>
          <w:rFonts w:ascii="Segoe UI Light" w:hAnsi="Segoe UI Light"/>
          <w:b/>
          <w:sz w:val="21"/>
        </w:rPr>
        <w:t>Psych Distress</w:t>
      </w:r>
      <w:r>
        <w:rPr>
          <w:rFonts w:ascii="Segoe UI Light" w:hAnsi="Segoe UI Light"/>
          <w:sz w:val="21"/>
        </w:rPr>
        <w:t xml:space="preserve"> from about 18% to about 10% (around 8 percentage points), and high </w:t>
      </w:r>
      <w:r>
        <w:rPr>
          <w:rFonts w:ascii="Segoe UI Light" w:hAnsi="Segoe UI Light"/>
          <w:b/>
          <w:sz w:val="21"/>
        </w:rPr>
        <w:t>Work Engagement</w:t>
      </w:r>
      <w:r>
        <w:rPr>
          <w:rFonts w:ascii="Segoe UI Light" w:hAnsi="Segoe UI Light"/>
          <w:sz w:val="21"/>
        </w:rPr>
        <w:t xml:space="preserve"> to rise from about 34% to about 41% (around 7 percentage points). Between its best and worst levels, this factor produces the largest total swing across the three outcomes of any factor in the model, and high </w:t>
      </w:r>
      <w:r>
        <w:rPr>
          <w:rFonts w:ascii="Segoe UI Light" w:hAnsi="Segoe UI Light"/>
          <w:b/>
          <w:sz w:val="21"/>
        </w:rPr>
        <w:t>Work Life Conflict</w:t>
      </w:r>
      <w:r>
        <w:rPr>
          <w:rFonts w:ascii="Segoe UI Light" w:hAnsi="Segoe UI Light"/>
          <w:sz w:val="21"/>
        </w:rPr>
        <w:t xml:space="preserve"> alone raises high </w:t>
      </w:r>
      <w:r>
        <w:rPr>
          <w:rFonts w:ascii="Segoe UI Light" w:hAnsi="Segoe UI Light"/>
          <w:b/>
          <w:sz w:val="21"/>
        </w:rPr>
        <w:t>Psych Distress</w:t>
      </w:r>
      <w:r>
        <w:rPr>
          <w:rFonts w:ascii="Segoe UI Light" w:hAnsi="Segoe UI Light"/>
          <w:sz w:val="21"/>
        </w:rPr>
        <w:t xml:space="preserve"> to about 33%. In practical terms, the model suggests that hours, rostering, after-hours contact and predictability of work are worth examining as a whole rather than as a workload question alone.</w:t>
      </w:r>
    </w:p>
    <w:p>
      <w:bookmarkStart w:id="6" w:name="_PWToc6"/>
      <w:pPr>
        <w:pStyle w:val="Heading2"/>
      </w:pPr>
      <w:r>
        <w:rPr>
          <w:rFonts w:ascii="Segoe UI Light" w:hAnsi="Segoe UI Light"/>
          <w:b/>
          <w:color w:val="2D5A8E"/>
          <w:sz w:val="22"/>
        </w:rPr>
        <w:t>Recognition and Meaningful Work: the main levers on Work Engagement</w:t>
      </w:r>
      <w:bookmarkEnd w:id="6"/>
    </w:p>
    <w:p>
      <w:pPr>
        <w:spacing w:after="120"/>
      </w:pPr>
      <w:r>
        <w:rPr>
          <w:rFonts w:ascii="Segoe UI Light" w:hAnsi="Segoe UI Light"/>
          <w:b/>
          <w:sz w:val="21"/>
        </w:rPr>
        <w:t>Recognition</w:t>
      </w:r>
      <w:r>
        <w:rPr>
          <w:rFonts w:ascii="Segoe UI Light" w:hAnsi="Segoe UI Light"/>
          <w:sz w:val="21"/>
        </w:rPr>
        <w:t xml:space="preserve"> covers whether effort and contribution are noticed and acknowledged through feedback, fair pay or opportunities to progress. </w:t>
      </w:r>
      <w:r>
        <w:rPr>
          <w:rFonts w:ascii="Segoe UI Light" w:hAnsi="Segoe UI Light"/>
          <w:b/>
          <w:sz w:val="21"/>
        </w:rPr>
        <w:t>Meaningful Work</w:t>
      </w:r>
      <w:r>
        <w:rPr>
          <w:rFonts w:ascii="Segoe UI Light" w:hAnsi="Segoe UI Light"/>
          <w:sz w:val="21"/>
        </w:rPr>
        <w:t xml:space="preserve"> covers whether work feels purposeful, uses a person's strengths and shows why their contribution matters. Both are estimated to be strengths in the starting position, with around half or more of workers in the high categories, and both are the strongest links to </w:t>
      </w:r>
      <w:r>
        <w:rPr>
          <w:rFonts w:ascii="Segoe UI Light" w:hAnsi="Segoe UI Light"/>
          <w:b/>
          <w:sz w:val="21"/>
        </w:rPr>
        <w:t>Work Engagement</w:t>
      </w:r>
      <w:r>
        <w:rPr>
          <w:rFonts w:ascii="Segoe UI Light" w:hAnsi="Segoe UI Light"/>
          <w:sz w:val="21"/>
        </w:rPr>
        <w:t>.</w:t>
      </w:r>
    </w:p>
    <w:p>
      <w:pPr>
        <w:spacing w:after="120"/>
      </w:pPr>
      <w:r>
        <w:rPr>
          <w:rFonts w:ascii="Segoe UI Light" w:hAnsi="Segoe UI Light"/>
          <w:sz w:val="21"/>
        </w:rPr>
        <w:t xml:space="preserve">If every worker experienced high </w:t>
      </w:r>
      <w:r>
        <w:rPr>
          <w:rFonts w:ascii="Segoe UI Light" w:hAnsi="Segoe UI Light"/>
          <w:b/>
          <w:sz w:val="21"/>
        </w:rPr>
        <w:t>Recognition</w:t>
      </w:r>
      <w:r>
        <w:rPr>
          <w:rFonts w:ascii="Segoe UI Light" w:hAnsi="Segoe UI Light"/>
          <w:sz w:val="21"/>
        </w:rPr>
        <w:t xml:space="preserve">, high </w:t>
      </w:r>
      <w:r>
        <w:rPr>
          <w:rFonts w:ascii="Segoe UI Light" w:hAnsi="Segoe UI Light"/>
          <w:b/>
          <w:sz w:val="21"/>
        </w:rPr>
        <w:t>Work Engagement</w:t>
      </w:r>
      <w:r>
        <w:rPr>
          <w:rFonts w:ascii="Segoe UI Light" w:hAnsi="Segoe UI Light"/>
          <w:sz w:val="21"/>
        </w:rPr>
        <w:t xml:space="preserve"> is estimated to rise from about 34% to about 45% (around 11 percentage points), with the low category falling by about 8 percentage points. High </w:t>
      </w:r>
      <w:r>
        <w:rPr>
          <w:rFonts w:ascii="Segoe UI Light" w:hAnsi="Segoe UI Light"/>
          <w:b/>
          <w:sz w:val="21"/>
        </w:rPr>
        <w:t>Burnout</w:t>
      </w:r>
      <w:r>
        <w:rPr>
          <w:rFonts w:ascii="Segoe UI Light" w:hAnsi="Segoe UI Light"/>
          <w:sz w:val="21"/>
        </w:rPr>
        <w:t xml:space="preserve"> falls by about 5 percentage points and high </w:t>
      </w:r>
      <w:r>
        <w:rPr>
          <w:rFonts w:ascii="Segoe UI Light" w:hAnsi="Segoe UI Light"/>
          <w:b/>
          <w:sz w:val="21"/>
        </w:rPr>
        <w:t>Psych Distress</w:t>
      </w:r>
      <w:r>
        <w:rPr>
          <w:rFonts w:ascii="Segoe UI Light" w:hAnsi="Segoe UI Light"/>
          <w:sz w:val="21"/>
        </w:rPr>
        <w:t xml:space="preserve"> by about 3 percentage points. For </w:t>
      </w:r>
      <w:r>
        <w:rPr>
          <w:rFonts w:ascii="Segoe UI Light" w:hAnsi="Segoe UI Light"/>
          <w:b/>
          <w:sz w:val="21"/>
        </w:rPr>
        <w:t>Meaningful Work</w:t>
      </w:r>
      <w:r>
        <w:rPr>
          <w:rFonts w:ascii="Segoe UI Light" w:hAnsi="Segoe UI Light"/>
          <w:sz w:val="21"/>
        </w:rPr>
        <w:t xml:space="preserve">, universal high experience lifts high </w:t>
      </w:r>
      <w:r>
        <w:rPr>
          <w:rFonts w:ascii="Segoe UI Light" w:hAnsi="Segoe UI Light"/>
          <w:b/>
          <w:sz w:val="21"/>
        </w:rPr>
        <w:t>Work Engagement</w:t>
      </w:r>
      <w:r>
        <w:rPr>
          <w:rFonts w:ascii="Segoe UI Light" w:hAnsi="Segoe UI Light"/>
          <w:sz w:val="21"/>
        </w:rPr>
        <w:t xml:space="preserve"> to about 46% (around 12 percentage points), reduces high </w:t>
      </w:r>
      <w:r>
        <w:rPr>
          <w:rFonts w:ascii="Segoe UI Light" w:hAnsi="Segoe UI Light"/>
          <w:b/>
          <w:sz w:val="21"/>
        </w:rPr>
        <w:t>Burnout</w:t>
      </w:r>
      <w:r>
        <w:rPr>
          <w:rFonts w:ascii="Segoe UI Light" w:hAnsi="Segoe UI Light"/>
          <w:sz w:val="21"/>
        </w:rPr>
        <w:t xml:space="preserve"> by about 4 percentage points and high </w:t>
      </w:r>
      <w:r>
        <w:rPr>
          <w:rFonts w:ascii="Segoe UI Light" w:hAnsi="Segoe UI Light"/>
          <w:b/>
          <w:sz w:val="21"/>
        </w:rPr>
        <w:t>Psych Distress</w:t>
      </w:r>
      <w:r>
        <w:rPr>
          <w:rFonts w:ascii="Segoe UI Light" w:hAnsi="Segoe UI Light"/>
          <w:sz w:val="21"/>
        </w:rPr>
        <w:t xml:space="preserve"> by about 1 percentage point.</w:t>
      </w:r>
    </w:p>
    <w:p>
      <w:pPr>
        <w:spacing w:after="120"/>
      </w:pPr>
      <w:r>
        <w:rPr>
          <w:rFonts w:ascii="Segoe UI Light" w:hAnsi="Segoe UI Light"/>
          <w:sz w:val="21"/>
        </w:rPr>
        <w:t xml:space="preserve">The downside scenarios are steeper than the gains, which is the more important message for a workforce where these conditions are currently favourable. If everyone experienced low </w:t>
      </w:r>
      <w:r>
        <w:rPr>
          <w:rFonts w:ascii="Segoe UI Light" w:hAnsi="Segoe UI Light"/>
          <w:b/>
          <w:sz w:val="21"/>
        </w:rPr>
        <w:t>Meaningful Work</w:t>
      </w:r>
      <w:r>
        <w:rPr>
          <w:rFonts w:ascii="Segoe UI Light" w:hAnsi="Segoe UI Light"/>
          <w:sz w:val="21"/>
        </w:rPr>
        <w:t xml:space="preserve">, high </w:t>
      </w:r>
      <w:r>
        <w:rPr>
          <w:rFonts w:ascii="Segoe UI Light" w:hAnsi="Segoe UI Light"/>
          <w:b/>
          <w:sz w:val="21"/>
        </w:rPr>
        <w:t>Work Engagement</w:t>
      </w:r>
      <w:r>
        <w:rPr>
          <w:rFonts w:ascii="Segoe UI Light" w:hAnsi="Segoe UI Light"/>
          <w:sz w:val="21"/>
        </w:rPr>
        <w:t xml:space="preserve"> falls to about 9% and the low category rises to about 42%, an increase of around 24 percentage points; high </w:t>
      </w:r>
      <w:r>
        <w:rPr>
          <w:rFonts w:ascii="Segoe UI Light" w:hAnsi="Segoe UI Light"/>
          <w:b/>
          <w:sz w:val="21"/>
        </w:rPr>
        <w:t>Burnout</w:t>
      </w:r>
      <w:r>
        <w:rPr>
          <w:rFonts w:ascii="Segoe UI Light" w:hAnsi="Segoe UI Light"/>
          <w:sz w:val="21"/>
        </w:rPr>
        <w:t xml:space="preserve"> rises by about 9 percentage points. Low </w:t>
      </w:r>
      <w:r>
        <w:rPr>
          <w:rFonts w:ascii="Segoe UI Light" w:hAnsi="Segoe UI Light"/>
          <w:b/>
          <w:sz w:val="21"/>
        </w:rPr>
        <w:t>Recognition</w:t>
      </w:r>
      <w:r>
        <w:rPr>
          <w:rFonts w:ascii="Segoe UI Light" w:hAnsi="Segoe UI Light"/>
          <w:sz w:val="21"/>
        </w:rPr>
        <w:t xml:space="preserve"> produces a similar pattern, with high </w:t>
      </w:r>
      <w:r>
        <w:rPr>
          <w:rFonts w:ascii="Segoe UI Light" w:hAnsi="Segoe UI Light"/>
          <w:b/>
          <w:sz w:val="21"/>
        </w:rPr>
        <w:t>Work Engagement</w:t>
      </w:r>
      <w:r>
        <w:rPr>
          <w:rFonts w:ascii="Segoe UI Light" w:hAnsi="Segoe UI Light"/>
          <w:sz w:val="21"/>
        </w:rPr>
        <w:t xml:space="preserve"> falling to about 16% and high </w:t>
      </w:r>
      <w:r>
        <w:rPr>
          <w:rFonts w:ascii="Segoe UI Light" w:hAnsi="Segoe UI Light"/>
          <w:b/>
          <w:sz w:val="21"/>
        </w:rPr>
        <w:t>Burnout</w:t>
      </w:r>
      <w:r>
        <w:rPr>
          <w:rFonts w:ascii="Segoe UI Light" w:hAnsi="Segoe UI Light"/>
          <w:sz w:val="21"/>
        </w:rPr>
        <w:t xml:space="preserve"> rising by about 9 percentage points. The practical implication is that these strengths are worth protecting through periods of change, restructure or cost pressure, because losing them costs more than improving them further would gain.</w:t>
      </w:r>
    </w:p>
    <w:p>
      <w:bookmarkStart w:id="7" w:name="_PWToc7"/>
      <w:pPr>
        <w:pStyle w:val="Heading2"/>
      </w:pPr>
      <w:r>
        <w:rPr>
          <w:rFonts w:ascii="Segoe UI Light" w:hAnsi="Segoe UI Light"/>
          <w:b/>
          <w:color w:val="2D5A8E"/>
          <w:sz w:val="22"/>
        </w:rPr>
        <w:t>Emotional Demand: a Burnout risk to examine at role and team level</w:t>
      </w:r>
      <w:bookmarkEnd w:id="7"/>
    </w:p>
    <w:p>
      <w:pPr>
        <w:spacing w:after="120"/>
      </w:pPr>
      <w:r>
        <w:rPr>
          <w:rFonts w:ascii="Segoe UI Light" w:hAnsi="Segoe UI Light"/>
          <w:b/>
          <w:sz w:val="21"/>
        </w:rPr>
        <w:t>Emotional Demand</w:t>
      </w:r>
      <w:r>
        <w:rPr>
          <w:rFonts w:ascii="Segoe UI Light" w:hAnsi="Segoe UI Light"/>
          <w:sz w:val="21"/>
        </w:rPr>
        <w:t xml:space="preserve"> describes emotionally demanding interactions, such as responding to others' distress or managing the emotions shown as part of a role. It has no estimated effect on </w:t>
      </w:r>
      <w:r>
        <w:rPr>
          <w:rFonts w:ascii="Segoe UI Light" w:hAnsi="Segoe UI Light"/>
          <w:b/>
          <w:sz w:val="21"/>
        </w:rPr>
        <w:t>Work Engagement</w:t>
      </w:r>
      <w:r>
        <w:rPr>
          <w:rFonts w:ascii="Segoe UI Light" w:hAnsi="Segoe UI Light"/>
          <w:sz w:val="21"/>
        </w:rPr>
        <w:t xml:space="preserve">, but it matters for </w:t>
      </w:r>
      <w:r>
        <w:rPr>
          <w:rFonts w:ascii="Segoe UI Light" w:hAnsi="Segoe UI Light"/>
          <w:b/>
          <w:sz w:val="21"/>
        </w:rPr>
        <w:t>Burnout</w:t>
      </w:r>
      <w:r>
        <w:rPr>
          <w:rFonts w:ascii="Segoe UI Light" w:hAnsi="Segoe UI Light"/>
          <w:sz w:val="21"/>
        </w:rPr>
        <w:t xml:space="preserve">. If every worker experienced low </w:t>
      </w:r>
      <w:r>
        <w:rPr>
          <w:rFonts w:ascii="Segoe UI Light" w:hAnsi="Segoe UI Light"/>
          <w:b/>
          <w:sz w:val="21"/>
        </w:rPr>
        <w:t>Emotional Demand</w:t>
      </w:r>
      <w:r>
        <w:rPr>
          <w:rFonts w:ascii="Segoe UI Light" w:hAnsi="Segoe UI Light"/>
          <w:sz w:val="21"/>
        </w:rPr>
        <w:t xml:space="preserve">, high </w:t>
      </w:r>
      <w:r>
        <w:rPr>
          <w:rFonts w:ascii="Segoe UI Light" w:hAnsi="Segoe UI Light"/>
          <w:b/>
          <w:sz w:val="21"/>
        </w:rPr>
        <w:t>Burnout</w:t>
      </w:r>
      <w:r>
        <w:rPr>
          <w:rFonts w:ascii="Segoe UI Light" w:hAnsi="Segoe UI Light"/>
          <w:sz w:val="21"/>
        </w:rPr>
        <w:t xml:space="preserve"> falls from about 26% to about 16% (around 9 percentage points) and high </w:t>
      </w:r>
      <w:r>
        <w:rPr>
          <w:rFonts w:ascii="Segoe UI Light" w:hAnsi="Segoe UI Light"/>
          <w:b/>
          <w:sz w:val="21"/>
        </w:rPr>
        <w:t>Psych Distress</w:t>
      </w:r>
      <w:r>
        <w:rPr>
          <w:rFonts w:ascii="Segoe UI Light" w:hAnsi="Segoe UI Light"/>
          <w:sz w:val="21"/>
        </w:rPr>
        <w:t xml:space="preserve"> by about 3 percentage points. If everyone experienced high </w:t>
      </w:r>
      <w:r>
        <w:rPr>
          <w:rFonts w:ascii="Segoe UI Light" w:hAnsi="Segoe UI Light"/>
          <w:b/>
          <w:sz w:val="21"/>
        </w:rPr>
        <w:t>Emotional Demand</w:t>
      </w:r>
      <w:r>
        <w:rPr>
          <w:rFonts w:ascii="Segoe UI Light" w:hAnsi="Segoe UI Light"/>
          <w:sz w:val="21"/>
        </w:rPr>
        <w:t xml:space="preserve">, high </w:t>
      </w:r>
      <w:r>
        <w:rPr>
          <w:rFonts w:ascii="Segoe UI Light" w:hAnsi="Segoe UI Light"/>
          <w:b/>
          <w:sz w:val="21"/>
        </w:rPr>
        <w:t>Burnout</w:t>
      </w:r>
      <w:r>
        <w:rPr>
          <w:rFonts w:ascii="Segoe UI Light" w:hAnsi="Segoe UI Light"/>
          <w:sz w:val="21"/>
        </w:rPr>
        <w:t xml:space="preserve"> rises to about 43%, an increase of around 18 percentage points. The model estimates that about 22% of workers experience high </w:t>
      </w:r>
      <w:r>
        <w:rPr>
          <w:rFonts w:ascii="Segoe UI Light" w:hAnsi="Segoe UI Light"/>
          <w:b/>
          <w:sz w:val="21"/>
        </w:rPr>
        <w:t>Emotional Demand</w:t>
      </w:r>
      <w:r>
        <w:rPr>
          <w:rFonts w:ascii="Segoe UI Light" w:hAnsi="Segoe UI Light"/>
          <w:sz w:val="21"/>
        </w:rPr>
        <w:t>, but it provides only a workforce-wide figure and no breakdown by role or team. Because emotionally demanding interactions typically vary with the nature of a role, a first local assessment that can report by team or role group is the way to establish whether this demand is concentrated at Test Org, and therefore whether a role-level or a workforce-wide response is appropriate.</w:t>
      </w:r>
    </w:p>
    <w:p>
      <w:bookmarkStart w:id="8" w:name="_PWToc8"/>
      <w:pPr>
        <w:pStyle w:val="Heading2"/>
      </w:pPr>
      <w:r>
        <w:rPr>
          <w:rFonts w:ascii="Segoe UI Light" w:hAnsi="Segoe UI Light"/>
          <w:b/>
          <w:color w:val="2D5A8E"/>
          <w:sz w:val="22"/>
        </w:rPr>
        <w:t>Combined comparisons: resolving the trade-off</w:t>
      </w:r>
      <w:bookmarkEnd w:id="8"/>
    </w:p>
    <w:p>
      <w:pPr>
        <w:spacing w:after="120"/>
      </w:pPr>
      <w:r>
        <w:rPr>
          <w:rFonts w:ascii="Segoe UI Light" w:hAnsi="Segoe UI Light"/>
          <w:sz w:val="21"/>
        </w:rPr>
        <w:t xml:space="preserve">Because low </w:t>
      </w:r>
      <w:r>
        <w:rPr>
          <w:rFonts w:ascii="Segoe UI Light" w:hAnsi="Segoe UI Light"/>
          <w:b/>
          <w:sz w:val="21"/>
        </w:rPr>
        <w:t>Role Overload</w:t>
      </w:r>
      <w:r>
        <w:rPr>
          <w:rFonts w:ascii="Segoe UI Light" w:hAnsi="Segoe UI Light"/>
          <w:sz w:val="21"/>
        </w:rPr>
        <w:t xml:space="preserve"> alone slightly reduces </w:t>
      </w:r>
      <w:r>
        <w:rPr>
          <w:rFonts w:ascii="Segoe UI Light" w:hAnsi="Segoe UI Light"/>
          <w:b/>
          <w:sz w:val="21"/>
        </w:rPr>
        <w:t>Work Engagement</w:t>
      </w:r>
      <w:r>
        <w:rPr>
          <w:rFonts w:ascii="Segoe UI Light" w:hAnsi="Segoe UI Light"/>
          <w:sz w:val="21"/>
        </w:rPr>
        <w:t xml:space="preserve">, the combined comparisons are useful for the decision. The table below shows the two most relevant combinations, using the adverse category for </w:t>
      </w:r>
      <w:r>
        <w:rPr>
          <w:rFonts w:ascii="Segoe UI Light" w:hAnsi="Segoe UI Light"/>
          <w:b/>
          <w:sz w:val="21"/>
        </w:rPr>
        <w:t>Burnout</w:t>
      </w:r>
      <w:r>
        <w:rPr>
          <w:rFonts w:ascii="Segoe UI Light" w:hAnsi="Segoe UI Light"/>
          <w:sz w:val="21"/>
        </w:rPr>
        <w:t xml:space="preserve"> and </w:t>
      </w:r>
      <w:r>
        <w:rPr>
          <w:rFonts w:ascii="Segoe UI Light" w:hAnsi="Segoe UI Light"/>
          <w:b/>
          <w:sz w:val="21"/>
        </w:rPr>
        <w:t>Psych Distress</w:t>
      </w:r>
      <w:r>
        <w:rPr>
          <w:rFonts w:ascii="Segoe UI Light" w:hAnsi="Segoe UI Light"/>
          <w:sz w:val="21"/>
        </w:rPr>
        <w:t xml:space="preserve"> and the favourable category for </w:t>
      </w:r>
      <w:r>
        <w:rPr>
          <w:rFonts w:ascii="Segoe UI Light" w:hAnsi="Segoe UI Light"/>
          <w:b/>
          <w:sz w:val="21"/>
        </w:rPr>
        <w:t>Work Engagement</w:t>
      </w:r>
      <w:r>
        <w:rPr>
          <w:rFonts w:ascii="Segoe UI Light" w:hAnsi="Segoe UI Light"/>
          <w:sz w:val="21"/>
        </w:rPr>
        <w:t>. All figures assume every worker experienced the stated levels.</w:t>
      </w:r>
    </w:p>
    <w:tbl>
      <w:tblPr>
        <w:tblStyle w:val="TableGrid"/>
        <w:tblLayout w:type="fixed"/>
        <w:tblLook w:firstColumn="1" w:firstRow="1" w:lastColumn="0" w:lastRow="0" w:noHBand="0" w:noVBand="1" w:val="04A0"/>
        <w:tblW w:w="5000" w:type="pct"/>
      </w:tblPr>
      <w:tblGrid>
        <w:gridCol w:w="2268"/>
        <w:gridCol w:w="2268"/>
        <w:gridCol w:w="2268"/>
        <w:gridCol w:w="2268"/>
      </w:tblGrid>
      <w:tr>
        <w:trPr>
          <w:tblHeader/>
          <w:cantSplit/>
        </w:trPr>
        <w:tc>
          <w:tcPr>
            <w:tcW w:type="dxa" w:w="2268"/>
            <w:shd w:fill="1E3A5F" w:val="clear"/>
            <w:vAlign w:val="center"/>
          </w:tcPr>
          <w:p>
            <w:pPr>
              <w:keepNext/>
              <w:spacing w:after="60" w:before="60"/>
              <w:jc w:val="left"/>
            </w:pPr>
            <w:r>
              <w:rPr>
                <w:rFonts w:ascii="Segoe UI Light" w:hAnsi="Segoe UI Light"/>
                <w:b/>
                <w:color w:val="FFFFFF"/>
                <w:sz w:val="18"/>
              </w:rPr>
              <w:t>Combined scenario</w:t>
            </w:r>
          </w:p>
        </w:tc>
        <w:tc>
          <w:tcPr>
            <w:tcW w:type="dxa" w:w="2268"/>
            <w:shd w:fill="1E3A5F" w:val="clear"/>
            <w:vAlign w:val="center"/>
          </w:tcPr>
          <w:p>
            <w:pPr>
              <w:keepNext/>
              <w:spacing w:after="60" w:before="60"/>
              <w:jc w:val="left"/>
            </w:pPr>
            <w:r>
              <w:rPr>
                <w:rFonts w:ascii="Segoe UI Light" w:hAnsi="Segoe UI Light"/>
                <w:b/>
                <w:color w:val="FFFFFF"/>
                <w:sz w:val="18"/>
              </w:rPr>
              <w:t>High Work Engagement</w:t>
            </w:r>
          </w:p>
        </w:tc>
        <w:tc>
          <w:tcPr>
            <w:tcW w:type="dxa" w:w="2268"/>
            <w:shd w:fill="1E3A5F" w:val="clear"/>
            <w:vAlign w:val="center"/>
          </w:tcPr>
          <w:p>
            <w:pPr>
              <w:keepNext/>
              <w:spacing w:after="60" w:before="60"/>
              <w:jc w:val="left"/>
            </w:pPr>
            <w:r>
              <w:rPr>
                <w:rFonts w:ascii="Segoe UI Light" w:hAnsi="Segoe UI Light"/>
                <w:b/>
                <w:color w:val="FFFFFF"/>
                <w:sz w:val="18"/>
              </w:rPr>
              <w:t>High Burnout</w:t>
            </w:r>
          </w:p>
        </w:tc>
        <w:tc>
          <w:tcPr>
            <w:tcW w:type="dxa" w:w="2268"/>
            <w:shd w:fill="1E3A5F" w:val="clear"/>
            <w:vAlign w:val="center"/>
          </w:tcPr>
          <w:p>
            <w:pPr>
              <w:keepNext/>
              <w:spacing w:after="60" w:before="60"/>
              <w:jc w:val="left"/>
            </w:pPr>
            <w:r>
              <w:rPr>
                <w:rFonts w:ascii="Segoe UI Light" w:hAnsi="Segoe UI Light"/>
                <w:b/>
                <w:color w:val="FFFFFF"/>
                <w:sz w:val="18"/>
              </w:rPr>
              <w:t>High Psych Distress</w:t>
            </w:r>
          </w:p>
        </w:tc>
      </w:tr>
      <w:tr>
        <w:trPr>
          <w:cantSplit/>
        </w:trPr>
        <w:tc>
          <w:tcPr>
            <w:tcW w:type="dxa" w:w="2268"/>
            <w:vAlign w:val="center"/>
          </w:tcPr>
          <w:p>
            <w:pPr>
              <w:keepNext/>
              <w:spacing w:after="60" w:before="60"/>
            </w:pPr>
            <w:r/>
            <w:r>
              <w:rPr>
                <w:rFonts w:ascii="Segoe UI Light" w:hAnsi="Segoe UI Light"/>
                <w:sz w:val="18"/>
              </w:rPr>
              <w:t>Starting position</w:t>
            </w:r>
          </w:p>
        </w:tc>
        <w:tc>
          <w:tcPr>
            <w:tcW w:type="dxa" w:w="2268"/>
            <w:vAlign w:val="center"/>
          </w:tcPr>
          <w:p>
            <w:pPr>
              <w:keepNext/>
              <w:spacing w:after="60" w:before="60"/>
            </w:pPr>
            <w:r/>
            <w:r>
              <w:rPr>
                <w:rFonts w:ascii="Segoe UI Light" w:hAnsi="Segoe UI Light"/>
                <w:sz w:val="18"/>
              </w:rPr>
              <w:t>about 34%</w:t>
            </w:r>
          </w:p>
        </w:tc>
        <w:tc>
          <w:tcPr>
            <w:tcW w:type="dxa" w:w="2268"/>
            <w:vAlign w:val="center"/>
          </w:tcPr>
          <w:p>
            <w:pPr>
              <w:keepNext/>
              <w:spacing w:after="60" w:before="60"/>
            </w:pPr>
            <w:r/>
            <w:r>
              <w:rPr>
                <w:rFonts w:ascii="Segoe UI Light" w:hAnsi="Segoe UI Light"/>
                <w:sz w:val="18"/>
              </w:rPr>
              <w:t>about 26%</w:t>
            </w:r>
          </w:p>
        </w:tc>
        <w:tc>
          <w:tcPr>
            <w:tcW w:type="dxa" w:w="2268"/>
            <w:vAlign w:val="center"/>
          </w:tcPr>
          <w:p>
            <w:pPr>
              <w:keepNext/>
              <w:spacing w:after="60" w:before="60"/>
            </w:pPr>
            <w:r/>
            <w:r>
              <w:rPr>
                <w:rFonts w:ascii="Segoe UI Light" w:hAnsi="Segoe UI Light"/>
                <w:sz w:val="18"/>
              </w:rPr>
              <w:t>about 18%</w:t>
            </w:r>
          </w:p>
        </w:tc>
      </w:tr>
      <w:tr>
        <w:trPr>
          <w:cantSplit/>
        </w:trPr>
        <w:tc>
          <w:tcPr>
            <w:tcW w:type="dxa" w:w="2268"/>
            <w:shd w:fill="F1F5F9" w:val="clear"/>
            <w:vAlign w:val="center"/>
          </w:tcPr>
          <w:p>
            <w:pPr>
              <w:keepNext/>
              <w:spacing w:after="60" w:before="60"/>
            </w:pPr>
            <w:r/>
            <w:r>
              <w:rPr>
                <w:rFonts w:ascii="Segoe UI Light" w:hAnsi="Segoe UI Light"/>
                <w:sz w:val="18"/>
              </w:rPr>
              <w:t>Low Role Overload + high Recognition + high Meaningful Work</w:t>
            </w:r>
          </w:p>
        </w:tc>
        <w:tc>
          <w:tcPr>
            <w:tcW w:type="dxa" w:w="2268"/>
            <w:shd w:fill="F1F5F9" w:val="clear"/>
            <w:vAlign w:val="center"/>
          </w:tcPr>
          <w:p>
            <w:pPr>
              <w:keepNext/>
              <w:spacing w:after="60" w:before="60"/>
            </w:pPr>
            <w:r/>
            <w:r>
              <w:rPr>
                <w:rFonts w:ascii="Segoe UI Light" w:hAnsi="Segoe UI Light"/>
                <w:sz w:val="18"/>
              </w:rPr>
              <w:t>about 56% (+22 points)</w:t>
            </w:r>
          </w:p>
        </w:tc>
        <w:tc>
          <w:tcPr>
            <w:tcW w:type="dxa" w:w="2268"/>
            <w:shd w:fill="F1F5F9" w:val="clear"/>
            <w:vAlign w:val="center"/>
          </w:tcPr>
          <w:p>
            <w:pPr>
              <w:keepNext/>
              <w:spacing w:after="60" w:before="60"/>
            </w:pPr>
            <w:r/>
            <w:r>
              <w:rPr>
                <w:rFonts w:ascii="Segoe UI Light" w:hAnsi="Segoe UI Light"/>
                <w:sz w:val="18"/>
              </w:rPr>
              <w:t>about 6% (−20 points)</w:t>
            </w:r>
          </w:p>
        </w:tc>
        <w:tc>
          <w:tcPr>
            <w:tcW w:type="dxa" w:w="2268"/>
            <w:shd w:fill="F1F5F9" w:val="clear"/>
            <w:vAlign w:val="center"/>
          </w:tcPr>
          <w:p>
            <w:pPr>
              <w:keepNext/>
              <w:spacing w:after="60" w:before="60"/>
            </w:pPr>
            <w:r/>
            <w:r>
              <w:rPr>
                <w:rFonts w:ascii="Segoe UI Light" w:hAnsi="Segoe UI Light"/>
                <w:sz w:val="18"/>
              </w:rPr>
              <w:t>about 9% (−10 points)</w:t>
            </w:r>
          </w:p>
        </w:tc>
      </w:tr>
      <w:tr>
        <w:trPr>
          <w:cantSplit/>
        </w:trPr>
        <w:tc>
          <w:tcPr>
            <w:tcW w:type="dxa" w:w="2268"/>
            <w:vAlign w:val="center"/>
          </w:tcPr>
          <w:p>
            <w:pPr>
              <w:keepNext w:val="0"/>
              <w:spacing w:after="60" w:before="60"/>
            </w:pPr>
            <w:r/>
            <w:r>
              <w:rPr>
                <w:rFonts w:ascii="Segoe UI Light" w:hAnsi="Segoe UI Light"/>
                <w:sz w:val="18"/>
              </w:rPr>
              <w:t>Low Work Life Conflict + high Recognition + high Meaningful Work</w:t>
            </w:r>
          </w:p>
        </w:tc>
        <w:tc>
          <w:tcPr>
            <w:tcW w:type="dxa" w:w="2268"/>
            <w:vAlign w:val="center"/>
          </w:tcPr>
          <w:p>
            <w:pPr>
              <w:keepNext w:val="0"/>
              <w:spacing w:after="60" w:before="60"/>
            </w:pPr>
            <w:r/>
            <w:r>
              <w:rPr>
                <w:rFonts w:ascii="Segoe UI Light" w:hAnsi="Segoe UI Light"/>
                <w:sz w:val="18"/>
              </w:rPr>
              <w:t>about 64% (+30 points)</w:t>
            </w:r>
          </w:p>
        </w:tc>
        <w:tc>
          <w:tcPr>
            <w:tcW w:type="dxa" w:w="2268"/>
            <w:vAlign w:val="center"/>
          </w:tcPr>
          <w:p>
            <w:pPr>
              <w:keepNext w:val="0"/>
              <w:spacing w:after="60" w:before="60"/>
            </w:pPr>
            <w:r/>
            <w:r>
              <w:rPr>
                <w:rFonts w:ascii="Segoe UI Light" w:hAnsi="Segoe UI Light"/>
                <w:sz w:val="18"/>
              </w:rPr>
              <w:t>about 11% (−15 points)</w:t>
            </w:r>
          </w:p>
        </w:tc>
        <w:tc>
          <w:tcPr>
            <w:tcW w:type="dxa" w:w="2268"/>
            <w:vAlign w:val="center"/>
          </w:tcPr>
          <w:p>
            <w:pPr>
              <w:keepNext w:val="0"/>
              <w:spacing w:after="60" w:before="60"/>
            </w:pPr>
            <w:r/>
            <w:r>
              <w:rPr>
                <w:rFonts w:ascii="Segoe UI Light" w:hAnsi="Segoe UI Light"/>
                <w:sz w:val="18"/>
              </w:rPr>
              <w:t>about 8% (−10 points)</w:t>
            </w:r>
          </w:p>
        </w:tc>
      </w:tr>
    </w:tbl>
    <w:p>
      <w:pPr>
        <w:spacing w:after="0"/>
      </w:pPr>
    </w:p>
    <w:p>
      <w:pPr>
        <w:spacing w:after="120"/>
      </w:pPr>
      <w:r>
        <w:rPr>
          <w:rFonts w:ascii="Segoe UI Light" w:hAnsi="Segoe UI Light"/>
          <w:sz w:val="21"/>
        </w:rPr>
        <w:t xml:space="preserve">The first combination has the highest overall score among the combined scenarios supplied to this report and shows that pairing demand reduction with recognition and meaning removes the engagement trade-off entirely. For </w:t>
      </w:r>
      <w:r>
        <w:rPr>
          <w:rFonts w:ascii="Segoe UI Light" w:hAnsi="Segoe UI Light"/>
          <w:b/>
          <w:sz w:val="21"/>
        </w:rPr>
        <w:t>Work Engagement</w:t>
      </w:r>
      <w:r>
        <w:rPr>
          <w:rFonts w:ascii="Segoe UI Light" w:hAnsi="Segoe UI Light"/>
          <w:sz w:val="21"/>
        </w:rPr>
        <w:t xml:space="preserve"> and </w:t>
      </w:r>
      <w:r>
        <w:rPr>
          <w:rFonts w:ascii="Segoe UI Light" w:hAnsi="Segoe UI Light"/>
          <w:b/>
          <w:sz w:val="21"/>
        </w:rPr>
        <w:t>Burnout</w:t>
      </w:r>
      <w:r>
        <w:rPr>
          <w:rFonts w:ascii="Segoe UI Light" w:hAnsi="Segoe UI Light"/>
          <w:sz w:val="21"/>
        </w:rPr>
        <w:t xml:space="preserve">, the model's verdict is that the three factors act largely independently, so their separate contributions add up rather than overlap. For </w:t>
      </w:r>
      <w:r>
        <w:rPr>
          <w:rFonts w:ascii="Segoe UI Light" w:hAnsi="Segoe UI Light"/>
          <w:b/>
          <w:sz w:val="21"/>
        </w:rPr>
        <w:t>Psych Distress</w:t>
      </w:r>
      <w:r>
        <w:rPr>
          <w:rFonts w:ascii="Segoe UI Light" w:hAnsi="Segoe UI Light"/>
          <w:sz w:val="21"/>
        </w:rPr>
        <w:t xml:space="preserve">, the comparison hits a probability ceiling and the separate and combined effects cannot be cleanly distinguished. The second combination produces the largest </w:t>
      </w:r>
      <w:r>
        <w:rPr>
          <w:rFonts w:ascii="Segoe UI Light" w:hAnsi="Segoe UI Light"/>
          <w:b/>
          <w:sz w:val="21"/>
        </w:rPr>
        <w:t>Work Engagement</w:t>
      </w:r>
      <w:r>
        <w:rPr>
          <w:rFonts w:ascii="Segoe UI Light" w:hAnsi="Segoe UI Light"/>
          <w:sz w:val="21"/>
        </w:rPr>
        <w:t xml:space="preserve"> gain of any scenario supplied, with partial overlap on the two adverse outcomes. Neither combination is a forecast of a program's results; they indicate which conditions can be addressed together without their gains cancelling out.</w:t>
      </w:r>
    </w:p>
    <w:p>
      <w:pPr>
        <w:spacing w:after="120"/>
      </w:pPr>
      <w:r>
        <w:rPr>
          <w:rFonts w:ascii="Segoe UI Light" w:hAnsi="Segoe UI Light"/>
          <w:sz w:val="21"/>
        </w:rPr>
        <w:t xml:space="preserve">An explicit scenario was also supplied combining high </w:t>
      </w:r>
      <w:r>
        <w:rPr>
          <w:rFonts w:ascii="Segoe UI Light" w:hAnsi="Segoe UI Light"/>
          <w:b/>
          <w:sz w:val="21"/>
        </w:rPr>
        <w:t>Recognition</w:t>
      </w:r>
      <w:r>
        <w:rPr>
          <w:rFonts w:ascii="Segoe UI Light" w:hAnsi="Segoe UI Light"/>
          <w:sz w:val="21"/>
        </w:rPr>
        <w:t xml:space="preserve"> with low </w:t>
      </w:r>
      <w:r>
        <w:rPr>
          <w:rFonts w:ascii="Segoe UI Light" w:hAnsi="Segoe UI Light"/>
          <w:b/>
          <w:sz w:val="21"/>
        </w:rPr>
        <w:t>Work Life Conflict</w:t>
      </w:r>
      <w:r>
        <w:rPr>
          <w:rFonts w:ascii="Segoe UI Light" w:hAnsi="Segoe UI Light"/>
          <w:sz w:val="21"/>
        </w:rPr>
        <w:t xml:space="preserve">. Under that scenario, high </w:t>
      </w:r>
      <w:r>
        <w:rPr>
          <w:rFonts w:ascii="Segoe UI Light" w:hAnsi="Segoe UI Light"/>
          <w:b/>
          <w:sz w:val="21"/>
        </w:rPr>
        <w:t>Work Engagement</w:t>
      </w:r>
      <w:r>
        <w:rPr>
          <w:rFonts w:ascii="Segoe UI Light" w:hAnsi="Segoe UI Light"/>
          <w:sz w:val="21"/>
        </w:rPr>
        <w:t xml:space="preserve"> rises from about 34% to about 51% (around 17 percentage points), high </w:t>
      </w:r>
      <w:r>
        <w:rPr>
          <w:rFonts w:ascii="Segoe UI Light" w:hAnsi="Segoe UI Light"/>
          <w:b/>
          <w:sz w:val="21"/>
        </w:rPr>
        <w:t>Burnout</w:t>
      </w:r>
      <w:r>
        <w:rPr>
          <w:rFonts w:ascii="Segoe UI Light" w:hAnsi="Segoe UI Light"/>
          <w:sz w:val="21"/>
        </w:rPr>
        <w:t xml:space="preserve"> falls from about 26% to about 13% (around 12 percentage points) and high </w:t>
      </w:r>
      <w:r>
        <w:rPr>
          <w:rFonts w:ascii="Segoe UI Light" w:hAnsi="Segoe UI Light"/>
          <w:b/>
          <w:sz w:val="21"/>
        </w:rPr>
        <w:t>Psych Distress</w:t>
      </w:r>
      <w:r>
        <w:rPr>
          <w:rFonts w:ascii="Segoe UI Light" w:hAnsi="Segoe UI Light"/>
          <w:sz w:val="21"/>
        </w:rPr>
        <w:t xml:space="preserve"> falls from about 18% to about 9% (around 9 percentage points). This is a useful middle path for an organisation that wants to act on both engagement and wellbeing without a full workload redesign, although it leaves the larger </w:t>
      </w:r>
      <w:r>
        <w:rPr>
          <w:rFonts w:ascii="Segoe UI Light" w:hAnsi="Segoe UI Light"/>
          <w:b/>
          <w:sz w:val="21"/>
        </w:rPr>
        <w:t>Role Overload</w:t>
      </w:r>
      <w:r>
        <w:rPr>
          <w:rFonts w:ascii="Segoe UI Light" w:hAnsi="Segoe UI Light"/>
          <w:sz w:val="21"/>
        </w:rPr>
        <w:t xml:space="preserve"> effect on </w:t>
      </w:r>
      <w:r>
        <w:rPr>
          <w:rFonts w:ascii="Segoe UI Light" w:hAnsi="Segoe UI Light"/>
          <w:b/>
          <w:sz w:val="21"/>
        </w:rPr>
        <w:t>Burnout</w:t>
      </w:r>
      <w:r>
        <w:rPr>
          <w:rFonts w:ascii="Segoe UI Light" w:hAnsi="Segoe UI Light"/>
          <w:sz w:val="21"/>
        </w:rPr>
        <w:t xml:space="preserve"> untouched.</w:t>
      </w:r>
    </w:p>
    <w:p>
      <w:bookmarkStart w:id="9" w:name="_PWToc9"/>
      <w:pPr>
        <w:pStyle w:val="Heading2"/>
      </w:pPr>
      <w:r>
        <w:rPr>
          <w:rFonts w:ascii="Segoe UI Light" w:hAnsi="Segoe UI Light"/>
          <w:b/>
          <w:color w:val="2D5A8E"/>
          <w:sz w:val="22"/>
        </w:rPr>
        <w:t>What Diagnostics suggests asking</w:t>
      </w:r>
      <w:bookmarkEnd w:id="9"/>
    </w:p>
    <w:p>
      <w:pPr>
        <w:spacing w:after="120"/>
      </w:pPr>
      <w:r>
        <w:rPr>
          <w:rFonts w:ascii="Segoe UI Light" w:hAnsi="Segoe UI Light"/>
          <w:sz w:val="21"/>
        </w:rPr>
        <w:t xml:space="preserve">Working backwards from low </w:t>
      </w:r>
      <w:r>
        <w:rPr>
          <w:rFonts w:ascii="Segoe UI Light" w:hAnsi="Segoe UI Light"/>
          <w:b/>
          <w:sz w:val="21"/>
        </w:rPr>
        <w:t>Work Engagement</w:t>
      </w:r>
      <w:r>
        <w:rPr>
          <w:rFonts w:ascii="Segoe UI Light" w:hAnsi="Segoe UI Light"/>
          <w:sz w:val="21"/>
        </w:rPr>
        <w:t xml:space="preserve">, the model estimates that low </w:t>
      </w:r>
      <w:r>
        <w:rPr>
          <w:rFonts w:ascii="Segoe UI Light" w:hAnsi="Segoe UI Light"/>
          <w:b/>
          <w:sz w:val="21"/>
        </w:rPr>
        <w:t>Meaningful Work</w:t>
      </w:r>
      <w:r>
        <w:rPr>
          <w:rFonts w:ascii="Segoe UI Light" w:hAnsi="Segoe UI Light"/>
          <w:sz w:val="21"/>
        </w:rPr>
        <w:t xml:space="preserve"> is much more likely to be present (rising from about 15% to about 37%), as is low </w:t>
      </w:r>
      <w:r>
        <w:rPr>
          <w:rFonts w:ascii="Segoe UI Light" w:hAnsi="Segoe UI Light"/>
          <w:b/>
          <w:sz w:val="21"/>
        </w:rPr>
        <w:t>Recognition</w:t>
      </w:r>
      <w:r>
        <w:rPr>
          <w:rFonts w:ascii="Segoe UI Light" w:hAnsi="Segoe UI Light"/>
          <w:sz w:val="21"/>
        </w:rPr>
        <w:t xml:space="preserve"> (about 17% to about 33%) and the high </w:t>
      </w:r>
      <w:r>
        <w:rPr>
          <w:rFonts w:ascii="Segoe UI Light" w:hAnsi="Segoe UI Light"/>
          <w:b/>
          <w:sz w:val="21"/>
        </w:rPr>
        <w:t>Burnout</w:t>
      </w:r>
      <w:r>
        <w:rPr>
          <w:rFonts w:ascii="Segoe UI Light" w:hAnsi="Segoe UI Light"/>
          <w:sz w:val="21"/>
        </w:rPr>
        <w:t xml:space="preserve"> category (about 26% to about 50%). </w:t>
      </w:r>
      <w:r>
        <w:rPr>
          <w:rFonts w:ascii="Segoe UI Light" w:hAnsi="Segoe UI Light"/>
          <w:b/>
          <w:sz w:val="21"/>
        </w:rPr>
        <w:t>Role Overload</w:t>
      </w:r>
      <w:r>
        <w:rPr>
          <w:rFonts w:ascii="Segoe UI Light" w:hAnsi="Segoe UI Light"/>
          <w:sz w:val="21"/>
        </w:rPr>
        <w:t xml:space="preserve"> barely changes (about 25% to about 27%). These are associations, not causes. They suggest that if consultation finds pockets of disengagement, the first questions should be about whether people see the point of their work and feel their contribution is noticed, rather than assuming workload is the explanation.</w:t>
      </w:r>
    </w:p>
    <w:p>
      <w:bookmarkStart w:id="10" w:name="_PWToc10"/>
      <w:pPr>
        <w:pStyle w:val="Heading2"/>
      </w:pPr>
      <w:r>
        <w:rPr>
          <w:rFonts w:ascii="Segoe UI Light" w:hAnsi="Segoe UI Light"/>
          <w:b/>
          <w:color w:val="2D5A8E"/>
          <w:sz w:val="22"/>
        </w:rPr>
        <w:t>A caution outside the focus</w:t>
      </w:r>
      <w:bookmarkEnd w:id="10"/>
    </w:p>
    <w:p>
      <w:pPr>
        <w:spacing w:after="120"/>
      </w:pPr>
      <w:r>
        <w:rPr>
          <w:rFonts w:ascii="Segoe UI Light" w:hAnsi="Segoe UI Light"/>
          <w:sz w:val="21"/>
        </w:rPr>
        <w:t xml:space="preserve">One factor outside the focus warrants a brief note because it could lead to a harmful decision. In the model, low </w:t>
      </w:r>
      <w:r>
        <w:rPr>
          <w:rFonts w:ascii="Segoe UI Light" w:hAnsi="Segoe UI Light"/>
          <w:b/>
          <w:sz w:val="21"/>
        </w:rPr>
        <w:t>Cognitive Demand</w:t>
      </w:r>
      <w:r>
        <w:rPr>
          <w:rFonts w:ascii="Segoe UI Light" w:hAnsi="Segoe UI Light"/>
          <w:sz w:val="21"/>
        </w:rPr>
        <w:t xml:space="preserve"> – the mental effort of concentration, decisions and complex information – reduces high </w:t>
      </w:r>
      <w:r>
        <w:rPr>
          <w:rFonts w:ascii="Segoe UI Light" w:hAnsi="Segoe UI Light"/>
          <w:b/>
          <w:sz w:val="21"/>
        </w:rPr>
        <w:t>Work Engagement</w:t>
      </w:r>
      <w:r>
        <w:rPr>
          <w:rFonts w:ascii="Segoe UI Light" w:hAnsi="Segoe UI Light"/>
          <w:sz w:val="21"/>
        </w:rPr>
        <w:t xml:space="preserve"> by about 18 percentage points and slightly worsens </w:t>
      </w:r>
      <w:r>
        <w:rPr>
          <w:rFonts w:ascii="Segoe UI Light" w:hAnsi="Segoe UI Light"/>
          <w:b/>
          <w:sz w:val="21"/>
        </w:rPr>
        <w:t>Burnout</w:t>
      </w:r>
      <w:r>
        <w:rPr>
          <w:rFonts w:ascii="Segoe UI Light" w:hAnsi="Segoe UI Light"/>
          <w:sz w:val="21"/>
        </w:rPr>
        <w:t>. Reducing excessive workload should not be confused with removing mental challenge from jobs, which the model associates with lower engagement.</w:t>
      </w:r>
    </w:p>
    <w:p>
      <w:bookmarkStart w:id="11" w:name="_PWToc11"/>
      <w:pPr>
        <w:pStyle w:val="Heading1"/>
      </w:pPr>
      <w:r>
        <w:rPr>
          <w:rFonts w:ascii="Segoe UI Light" w:hAnsi="Segoe UI Light"/>
          <w:b/>
          <w:color w:val="1E3A5F"/>
          <w:sz w:val="28"/>
        </w:rPr>
        <w:t>Recommended Next Steps</w:t>
      </w:r>
      <w:bookmarkEnd w:id="11"/>
    </w:p>
    <w:p>
      <w:pPr>
        <w:spacing w:after="120"/>
      </w:pPr>
      <w:r>
        <w:rPr>
          <w:rFonts w:ascii="Segoe UI Light" w:hAnsi="Segoe UI Light"/>
          <w:sz w:val="21"/>
        </w:rPr>
        <w:t>Because the model has not been fitted to Test Org's own responses, the first priority is to establish what conditions actually exist locally. The steps below distinguish prompt protection, where a first assessment finds harmful conditions already present, from longer-term improvement.</w:t>
      </w:r>
    </w:p>
    <w:p>
      <w:bookmarkStart w:id="12" w:name="_PWToc12"/>
      <w:pPr>
        <w:pStyle w:val="Heading2"/>
      </w:pPr>
      <w:r>
        <w:rPr>
          <w:rFonts w:ascii="Segoe UI Light" w:hAnsi="Segoe UI Light"/>
          <w:b/>
          <w:color w:val="2D5A8E"/>
          <w:sz w:val="22"/>
        </w:rPr>
        <w:t>1. Conduct a first local assessment (executive sponsor; people and safety leads)</w:t>
      </w:r>
      <w:bookmarkEnd w:id="12"/>
    </w:p>
    <w:p>
      <w:pPr>
        <w:spacing w:after="120"/>
      </w:pPr>
      <w:r>
        <w:rPr>
          <w:rFonts w:ascii="Segoe UI Light" w:hAnsi="Segoe UI Light"/>
          <w:sz w:val="21"/>
        </w:rPr>
        <w:t xml:space="preserve">No local baseline exists. A first assessment covering the five focus factors and the three outcomes would confirm or correct the general-workforce estimates and create a recorded baseline for later pulse follow-up. It should be able to report by team or role group: the model supplies only workforce-wide estimates, and because emotionally demanding interactions and workload pressure typically vary by role, reporting at that level is needed to test whether </w:t>
      </w:r>
      <w:r>
        <w:rPr>
          <w:rFonts w:ascii="Segoe UI Light" w:hAnsi="Segoe UI Light"/>
          <w:b/>
          <w:sz w:val="21"/>
        </w:rPr>
        <w:t>Emotional Demand</w:t>
      </w:r>
      <w:r>
        <w:rPr>
          <w:rFonts w:ascii="Segoe UI Light" w:hAnsi="Segoe UI Light"/>
          <w:sz w:val="21"/>
        </w:rPr>
        <w:t xml:space="preserve"> and </w:t>
      </w:r>
      <w:r>
        <w:rPr>
          <w:rFonts w:ascii="Segoe UI Light" w:hAnsi="Segoe UI Light"/>
          <w:b/>
          <w:sz w:val="21"/>
        </w:rPr>
        <w:t>Role Overload</w:t>
      </w:r>
      <w:r>
        <w:rPr>
          <w:rFonts w:ascii="Segoe UI Light" w:hAnsi="Segoe UI Light"/>
          <w:sz w:val="21"/>
        </w:rPr>
        <w:t xml:space="preserve"> are concentrated at Test Org or spread across the workforce. Consultation with workers and health and safety representatives should be built into the design. A decision point follows: if local results are close to the model, the priorities below stand; if they differ materially, priorities should be reset in Data Analytics using the fitted results.</w:t>
      </w:r>
    </w:p>
    <w:p>
      <w:bookmarkStart w:id="13" w:name="_PWToc13"/>
      <w:pPr>
        <w:pStyle w:val="Heading2"/>
      </w:pPr>
      <w:r>
        <w:rPr>
          <w:rFonts w:ascii="Segoe UI Light" w:hAnsi="Segoe UI Light"/>
          <w:b/>
          <w:color w:val="2D5A8E"/>
          <w:sz w:val="22"/>
        </w:rPr>
        <w:t>2. Act promptly where excessive demand is locally established (operational managers)</w:t>
      </w:r>
      <w:bookmarkEnd w:id="13"/>
    </w:p>
    <w:p>
      <w:pPr>
        <w:spacing w:after="120"/>
      </w:pPr>
      <w:r>
        <w:rPr>
          <w:rFonts w:ascii="Segoe UI Light" w:hAnsi="Segoe UI Light"/>
          <w:sz w:val="21"/>
        </w:rPr>
        <w:t xml:space="preserve">Where the assessment identifies teams with sustained high </w:t>
      </w:r>
      <w:r>
        <w:rPr>
          <w:rFonts w:ascii="Segoe UI Light" w:hAnsi="Segoe UI Light"/>
          <w:b/>
          <w:sz w:val="21"/>
        </w:rPr>
        <w:t>Role Overload</w:t>
      </w:r>
      <w:r>
        <w:rPr>
          <w:rFonts w:ascii="Segoe UI Light" w:hAnsi="Segoe UI Light"/>
          <w:sz w:val="21"/>
        </w:rPr>
        <w:t xml:space="preserve"> or high </w:t>
      </w:r>
      <w:r>
        <w:rPr>
          <w:rFonts w:ascii="Segoe UI Light" w:hAnsi="Segoe UI Light"/>
          <w:b/>
          <w:sz w:val="21"/>
        </w:rPr>
        <w:t>Work Life Conflict</w:t>
      </w:r>
      <w:r>
        <w:rPr>
          <w:rFonts w:ascii="Segoe UI Light" w:hAnsi="Segoe UI Light"/>
          <w:sz w:val="21"/>
        </w:rPr>
        <w:t>, managers should not wait for the longer-term program. Prompt steps could include reviewing vacancies and backfill, pausing or re-sequencing non-critical work, setting clear expectations about after-hours contact, and checking roster predictability. These are suggestions, not established local causes; consultation should establish which specific pressures workers experience and whether they are seasonal or structural, because the answer determines whether resourcing, scheduling or role design is the right response. Any redistribution of work should be checked for displaced load onto other teams.</w:t>
      </w:r>
    </w:p>
    <w:p>
      <w:bookmarkStart w:id="14" w:name="_PWToc14"/>
      <w:pPr>
        <w:pStyle w:val="Heading2"/>
      </w:pPr>
      <w:r>
        <w:rPr>
          <w:rFonts w:ascii="Segoe UI Light" w:hAnsi="Segoe UI Light"/>
          <w:b/>
          <w:color w:val="2D5A8E"/>
          <w:sz w:val="22"/>
        </w:rPr>
        <w:t>3. Identify emotionally demanding roles and confirm supports (people lead with relevant managers)</w:t>
      </w:r>
      <w:bookmarkEnd w:id="14"/>
    </w:p>
    <w:p>
      <w:pPr>
        <w:spacing w:after="120"/>
      </w:pPr>
      <w:r>
        <w:rPr>
          <w:rFonts w:ascii="Segoe UI Light" w:hAnsi="Segoe UI Light"/>
          <w:sz w:val="21"/>
        </w:rPr>
        <w:t>Consultation should establish which roles involve regular exposure to others' distress or difficult interactions, and what supports currently exist, such as debriefing, rotation, supervision or access to assistance programs. If supports are absent or unused, strengthening them is the likely response; if they exist but demand still registers as high, role design and exposure limits become the question.</w:t>
      </w:r>
    </w:p>
    <w:p>
      <w:bookmarkStart w:id="15" w:name="_PWToc15"/>
      <w:pPr>
        <w:pStyle w:val="Heading2"/>
      </w:pPr>
      <w:r>
        <w:rPr>
          <w:rFonts w:ascii="Segoe UI Light" w:hAnsi="Segoe UI Light"/>
          <w:b/>
          <w:color w:val="2D5A8E"/>
          <w:sz w:val="22"/>
        </w:rPr>
        <w:t>4. Protect Recognition and Meaningful Work through change (executive team)</w:t>
      </w:r>
      <w:bookmarkEnd w:id="15"/>
    </w:p>
    <w:p>
      <w:pPr>
        <w:spacing w:after="120"/>
      </w:pPr>
      <w:r>
        <w:rPr>
          <w:rFonts w:ascii="Segoe UI Light" w:hAnsi="Segoe UI Light"/>
          <w:sz w:val="21"/>
        </w:rPr>
        <w:t>The model estimates these as current strengths whose loss would cost far more than further gains would return. The executive team could adopt a simple test for major decisions, including restructures, system changes and cost programs: does this decision make it harder for workers to see the purpose of their work or to have their contribution acknowledged? Existing recognition and feedback practices should be mapped before any are changed, so that supports are not lost inadvertently.</w:t>
      </w:r>
    </w:p>
    <w:p>
      <w:bookmarkStart w:id="16" w:name="_PWToc16"/>
      <w:pPr>
        <w:pStyle w:val="Heading2"/>
      </w:pPr>
      <w:r>
        <w:rPr>
          <w:rFonts w:ascii="Segoe UI Light" w:hAnsi="Segoe UI Light"/>
          <w:b/>
          <w:color w:val="2D5A8E"/>
          <w:sz w:val="22"/>
        </w:rPr>
        <w:t>5. Develop a combined program rather than a workload program alone (executive team)</w:t>
      </w:r>
      <w:bookmarkEnd w:id="16"/>
    </w:p>
    <w:p>
      <w:pPr>
        <w:spacing w:after="120"/>
      </w:pPr>
      <w:r>
        <w:rPr>
          <w:rFonts w:ascii="Segoe UI Light" w:hAnsi="Segoe UI Light"/>
          <w:sz w:val="21"/>
        </w:rPr>
        <w:t xml:space="preserve">The combined comparisons suggest that reducing excessive demand delivers most for </w:t>
      </w:r>
      <w:r>
        <w:rPr>
          <w:rFonts w:ascii="Segoe UI Light" w:hAnsi="Segoe UI Light"/>
          <w:b/>
          <w:sz w:val="21"/>
        </w:rPr>
        <w:t>Burnout</w:t>
      </w:r>
      <w:r>
        <w:rPr>
          <w:rFonts w:ascii="Segoe UI Light" w:hAnsi="Segoe UI Light"/>
          <w:sz w:val="21"/>
        </w:rPr>
        <w:t xml:space="preserve"> and </w:t>
      </w:r>
      <w:r>
        <w:rPr>
          <w:rFonts w:ascii="Segoe UI Light" w:hAnsi="Segoe UI Light"/>
          <w:b/>
          <w:sz w:val="21"/>
        </w:rPr>
        <w:t>Psych Distress</w:t>
      </w:r>
      <w:r>
        <w:rPr>
          <w:rFonts w:ascii="Segoe UI Light" w:hAnsi="Segoe UI Light"/>
          <w:sz w:val="21"/>
        </w:rPr>
        <w:t xml:space="preserve">, while recognition and meaning deliver most for </w:t>
      </w:r>
      <w:r>
        <w:rPr>
          <w:rFonts w:ascii="Segoe UI Light" w:hAnsi="Segoe UI Light"/>
          <w:b/>
          <w:sz w:val="21"/>
        </w:rPr>
        <w:t>Work Engagement</w:t>
      </w:r>
      <w:r>
        <w:rPr>
          <w:rFonts w:ascii="Segoe UI Light" w:hAnsi="Segoe UI Light"/>
          <w:sz w:val="21"/>
        </w:rPr>
        <w:t>, and the two streams add up rather than compete. A longer-term program should pair workload and work-life measures with practices that connect workers to purpose and acknowledge contribution. Resourcing decisions should recognise that workload measures often require money or headcount, while recognition and meaning measures more often require management time and consistency.</w:t>
      </w:r>
    </w:p>
    <w:p>
      <w:bookmarkStart w:id="17" w:name="_PWToc17"/>
      <w:pPr>
        <w:pStyle w:val="Heading2"/>
      </w:pPr>
      <w:r>
        <w:rPr>
          <w:rFonts w:ascii="Segoe UI Light" w:hAnsi="Segoe UI Light"/>
          <w:b/>
          <w:color w:val="2D5A8E"/>
          <w:sz w:val="22"/>
        </w:rPr>
        <w:t>6. Check progress against the recorded baseline (people and safety leads; executive review)</w:t>
      </w:r>
      <w:bookmarkEnd w:id="17"/>
    </w:p>
    <w:p>
      <w:pPr>
        <w:spacing w:after="120"/>
      </w:pPr>
      <w:r>
        <w:rPr>
          <w:rFonts w:ascii="Segoe UI Light" w:hAnsi="Segoe UI Light"/>
          <w:sz w:val="21"/>
        </w:rPr>
        <w:t>Once a baseline exists, a pulse follow-up on the same factors and outcomes at an agreed interval, such as six to twelve months, would show whether local conditions are moving. Progress measures should track working conditions themselves, not only outcomes, because conditions respond first. Results and priority changes can be explored in Data Analytics at priorwork.au. The default Word export includes a model overview and an interpretation note; if detailed supporting tables were selected, they contain the full single-factor and combined scenario figures, and a separate controls worksheet is available for recording chosen measures.</w:t>
      </w:r>
    </w:p>
    <w:p>
      <w:pPr>
        <w:sectPr>
          <w:footerReference w:type="default" r:id="rId10"/>
          <w:pgSz w:w="11906" w:h="16838"/>
          <w:pgMar w:top="1417" w:right="1417" w:bottom="1417" w:left="1417" w:header="720" w:footer="720" w:gutter="0"/>
          <w:cols w:space="720"/>
          <w:docGrid w:linePitch="360"/>
        </w:sectPr>
      </w:pPr>
    </w:p>
    <w:p>
      <w:bookmarkStart w:id="18" w:name="_PWToc18"/>
      <w:pPr>
        <w:pStyle w:val="Heading1"/>
      </w:pPr>
      <w:r>
        <w:rPr>
          <w:rFonts w:ascii="Segoe UI Light" w:hAnsi="Segoe UI Light"/>
          <w:b/>
          <w:color w:val="1E3A5F"/>
          <w:sz w:val="28"/>
        </w:rPr>
        <w:t>Appendix – Supporting Material</w:t>
      </w:r>
      <w:bookmarkEnd w:id="18"/>
    </w:p>
    <w:p>
      <w:bookmarkStart w:id="19" w:name="_PWToc19"/>
      <w:pPr>
        <w:pStyle w:val="Heading2"/>
      </w:pPr>
      <w:r>
        <w:rPr>
          <w:rFonts w:ascii="Segoe UI Light" w:hAnsi="Segoe UI Light"/>
          <w:b/>
          <w:color w:val="2D5A8E"/>
          <w:sz w:val="22"/>
        </w:rPr>
        <w:t>A1 – How the Factors Connect</w:t>
      </w:r>
      <w:bookmarkEnd w:id="19"/>
    </w:p>
    <w:p>
      <w:pPr>
        <w:spacing w:after="160"/>
      </w:pPr>
      <w:r>
        <w:rPr>
          <w:rFonts w:ascii="Segoe UI Light" w:hAnsi="Segoe UI Light"/>
          <w:color w:val="64748B"/>
          <w:sz w:val="20"/>
        </w:rPr>
        <w:t>This overview includes every modelled factor and connection. Connections show analytical assumptions, not established causes or relationship strength. Read it alongside the source note below.</w:t>
      </w:r>
    </w:p>
    <w:p>
      <w:pPr>
        <w:keepNext/>
        <w:spacing w:after="80"/>
      </w:pPr>
      <w:r>
        <w:rPr>
          <w:rFonts w:ascii="Segoe UI Light" w:hAnsi="Segoe UI Light"/>
          <w:i/>
          <w:color w:val="334155"/>
          <w:sz w:val="18"/>
        </w:rPr>
        <w:t>Complete model snapshot. Double blue borders identify outcomes; amber borders identify the selected report priorities. All recorded connections are shown. Positions and line widths do not rank importance. Connections show the direction used in the analysis, not proof of causation.</w:t>
      </w:r>
    </w:p>
    <w:p>
      <w:pPr>
        <w:jc w:val="center"/>
      </w:pPr>
      <w:r>
        <w:drawing>
          <wp:inline xmlns:a="http://schemas.openxmlformats.org/drawingml/2006/main" xmlns:pic="http://schemas.openxmlformats.org/drawingml/2006/picture">
            <wp:extent cx="5120000" cy="5760000"/>
            <wp:docPr id="1" name="Picture 1" descr="Role Overload (report priority); Cognitive Demand; Emotional Demand (report priority); Role Ambiguity; Role Conflict; Work Life Conflict (report priority); Job Insecurity; Job Control; Supervisor Support; Coworker Support; Recognition (report priority); Procedural Justice; Change Consultation; Workplace Relationships; Development Growth; Meaningful Work (report priority); Psychological Safety; Work Engagement (outcome); Burnout (outcome); Psych Distress (outcome)"/>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120000" cy="5760000"/>
                    </a:xfrm>
                    <a:prstGeom prst="rect"/>
                  </pic:spPr>
                </pic:pic>
              </a:graphicData>
            </a:graphic>
          </wp:inline>
        </w:drawing>
      </w:r>
    </w:p>
    <w:p>
      <w:bookmarkStart w:id="20" w:name="_PWToc20"/>
      <w:pPr>
        <w:pStyle w:val="Heading2"/>
        <w:pageBreakBefore/>
      </w:pPr>
      <w:r>
        <w:rPr>
          <w:rFonts w:ascii="Segoe UI Light" w:hAnsi="Segoe UI Light"/>
          <w:b/>
          <w:color w:val="2D5A8E"/>
          <w:sz w:val="22"/>
        </w:rPr>
        <w:t>A2 – Starting Model Estimates</w:t>
      </w:r>
      <w:bookmarkEnd w:id="20"/>
    </w:p>
    <w:p>
      <w:pPr>
        <w:spacing w:after="160"/>
      </w:pPr>
      <w:r>
        <w:rPr>
          <w:rFonts w:ascii="Segoe UI Light" w:hAnsi="Segoe UI Light"/>
          <w:color w:val="64748B"/>
          <w:sz w:val="20"/>
        </w:rPr>
        <w:t>Starting probabilities from the report model, before a scenario is applied. These are model estimates, not raw response counts. State labels and any recorded direction are shown for each factor. Not applicable means the factor does not use that state; unavailable means its probability was not supplied.</w:t>
      </w:r>
    </w:p>
    <w:tbl>
      <w:tblPr>
        <w:tblStyle w:val="TableGrid"/>
        <w:tblLayout w:type="fixed"/>
        <w:tblLook w:firstColumn="1" w:firstRow="1" w:lastColumn="0" w:lastRow="0" w:noHBand="0" w:noVBand="1" w:val="04A0"/>
        <w:tblW w:w="5000" w:type="pct"/>
      </w:tblPr>
      <w:tblGrid>
        <w:gridCol w:w="2811"/>
        <w:gridCol w:w="1606"/>
        <w:gridCol w:w="1606"/>
        <w:gridCol w:w="1606"/>
        <w:gridCol w:w="2008"/>
      </w:tblGrid>
      <w:tr>
        <w:trPr>
          <w:tblHeader/>
          <w:cantSplit/>
        </w:trPr>
        <w:tc>
          <w:tcPr>
            <w:tcW w:type="dxa" w:w="2811"/>
            <w:shd w:fill="1E3A5F" w:val="clear"/>
            <w:vAlign w:val="center"/>
          </w:tcPr>
          <w:p>
            <w:pPr>
              <w:keepNext/>
              <w:spacing w:after="60" w:before="60"/>
              <w:jc w:val="left"/>
            </w:pPr>
            <w:r>
              <w:rPr>
                <w:rFonts w:ascii="Segoe UI Light" w:hAnsi="Segoe UI Light"/>
                <w:b/>
                <w:color w:val="FFFFFF"/>
                <w:sz w:val="18"/>
              </w:rPr>
              <w:t>Factor</w:t>
            </w:r>
          </w:p>
        </w:tc>
        <w:tc>
          <w:tcPr>
            <w:tcW w:type="dxa" w:w="1606"/>
            <w:shd w:fill="1E3A5F" w:val="clear"/>
            <w:vAlign w:val="center"/>
          </w:tcPr>
          <w:p>
            <w:pPr>
              <w:keepNext/>
              <w:spacing w:after="60" w:before="60"/>
              <w:jc w:val="left"/>
            </w:pPr>
            <w:r>
              <w:rPr>
                <w:rFonts w:ascii="Segoe UI Light" w:hAnsi="Segoe UI Light"/>
                <w:b/>
                <w:color w:val="FFFFFF"/>
                <w:sz w:val="18"/>
              </w:rPr>
              <w:t>Low (L)</w:t>
            </w:r>
          </w:p>
        </w:tc>
        <w:tc>
          <w:tcPr>
            <w:tcW w:type="dxa" w:w="1606"/>
            <w:shd w:fill="1E3A5F" w:val="clear"/>
            <w:vAlign w:val="center"/>
          </w:tcPr>
          <w:p>
            <w:pPr>
              <w:keepNext/>
              <w:spacing w:after="60" w:before="60"/>
              <w:jc w:val="left"/>
            </w:pPr>
            <w:r>
              <w:rPr>
                <w:rFonts w:ascii="Segoe UI Light" w:hAnsi="Segoe UI Light"/>
                <w:b/>
                <w:color w:val="FFFFFF"/>
                <w:sz w:val="18"/>
              </w:rPr>
              <w:t>Moderate (M)</w:t>
            </w:r>
          </w:p>
        </w:tc>
        <w:tc>
          <w:tcPr>
            <w:tcW w:type="dxa" w:w="1606"/>
            <w:shd w:fill="1E3A5F" w:val="clear"/>
            <w:vAlign w:val="center"/>
          </w:tcPr>
          <w:p>
            <w:pPr>
              <w:keepNext/>
              <w:spacing w:after="60" w:before="60"/>
              <w:jc w:val="left"/>
            </w:pPr>
            <w:r>
              <w:rPr>
                <w:rFonts w:ascii="Segoe UI Light" w:hAnsi="Segoe UI Light"/>
                <w:b/>
                <w:color w:val="FFFFFF"/>
                <w:sz w:val="18"/>
              </w:rPr>
              <w:t>High (H)</w:t>
            </w:r>
          </w:p>
        </w:tc>
        <w:tc>
          <w:tcPr>
            <w:tcW w:type="dxa" w:w="2008"/>
            <w:shd w:fill="1E3A5F" w:val="clear"/>
            <w:vAlign w:val="center"/>
          </w:tcPr>
          <w:p>
            <w:pPr>
              <w:keepNext/>
              <w:spacing w:after="60" w:before="60"/>
              <w:jc w:val="left"/>
            </w:pPr>
            <w:r>
              <w:rPr>
                <w:rFonts w:ascii="Segoe UI Light" w:hAnsi="Segoe UI Light"/>
                <w:b/>
                <w:color w:val="FFFFFF"/>
                <w:sz w:val="18"/>
              </w:rPr>
              <w:t>Recorded direction</w:t>
            </w:r>
          </w:p>
        </w:tc>
      </w:tr>
      <w:tr>
        <w:trPr>
          <w:cantSplit/>
        </w:trPr>
        <w:tc>
          <w:tcPr>
            <w:tcW w:type="dxa" w:w="2811"/>
            <w:vAlign w:val="center"/>
          </w:tcPr>
          <w:p>
            <w:pPr>
              <w:keepNext w:val="0"/>
              <w:spacing w:after="60" w:before="60"/>
              <w:jc w:val="left"/>
            </w:pPr>
            <w:r>
              <w:rPr>
                <w:rFonts w:ascii="Segoe UI Light" w:hAnsi="Segoe UI Light"/>
                <w:b w:val="0"/>
                <w:sz w:val="18"/>
              </w:rPr>
              <w:t>Burnout</w:t>
            </w:r>
          </w:p>
        </w:tc>
        <w:tc>
          <w:tcPr>
            <w:tcW w:type="dxa" w:w="1606"/>
            <w:vAlign w:val="center"/>
          </w:tcPr>
          <w:p>
            <w:pPr>
              <w:keepNext w:val="0"/>
              <w:spacing w:after="60" w:before="60"/>
              <w:jc w:val="center"/>
            </w:pPr>
            <w:r>
              <w:rPr>
                <w:rFonts w:ascii="Segoe UI Light" w:hAnsi="Segoe UI Light"/>
                <w:b w:val="0"/>
                <w:sz w:val="18"/>
              </w:rPr>
              <w:t>33.3%</w:t>
            </w:r>
          </w:p>
        </w:tc>
        <w:tc>
          <w:tcPr>
            <w:tcW w:type="dxa" w:w="1606"/>
            <w:vAlign w:val="center"/>
          </w:tcPr>
          <w:p>
            <w:pPr>
              <w:keepNext w:val="0"/>
              <w:spacing w:after="60" w:before="60"/>
              <w:jc w:val="center"/>
            </w:pPr>
            <w:r>
              <w:rPr>
                <w:rFonts w:ascii="Segoe UI Light" w:hAnsi="Segoe UI Light"/>
                <w:b w:val="0"/>
                <w:sz w:val="18"/>
              </w:rPr>
              <w:t>41.1%</w:t>
            </w:r>
          </w:p>
        </w:tc>
        <w:tc>
          <w:tcPr>
            <w:tcW w:type="dxa" w:w="1606"/>
            <w:vAlign w:val="center"/>
          </w:tcPr>
          <w:p>
            <w:pPr>
              <w:keepNext w:val="0"/>
              <w:spacing w:after="60" w:before="60"/>
              <w:jc w:val="center"/>
            </w:pPr>
            <w:r>
              <w:rPr>
                <w:rFonts w:ascii="Segoe UI Light" w:hAnsi="Segoe UI Light"/>
                <w:b w:val="0"/>
                <w:sz w:val="18"/>
              </w:rPr>
              <w:t>25.5%</w:t>
            </w:r>
          </w:p>
        </w:tc>
        <w:tc>
          <w:tcPr>
            <w:tcW w:type="dxa" w:w="2008"/>
            <w:vAlign w:val="center"/>
          </w:tcPr>
          <w:p>
            <w:pPr>
              <w:keepNext w:val="0"/>
              <w:spacing w:after="60" w:before="60"/>
              <w:jc w:val="left"/>
            </w:pPr>
            <w:r>
              <w:rPr>
                <w:rFonts w:ascii="Segoe UI Light" w:hAnsi="Segoe UI Light"/>
                <w:b w:val="0"/>
                <w:sz w:val="18"/>
              </w:rPr>
              <w:t>Lower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Change Consultation</w:t>
            </w:r>
          </w:p>
        </w:tc>
        <w:tc>
          <w:tcPr>
            <w:tcW w:type="dxa" w:w="1606"/>
            <w:shd w:fill="F1F5F9" w:val="clear"/>
            <w:vAlign w:val="center"/>
          </w:tcPr>
          <w:p>
            <w:pPr>
              <w:keepNext w:val="0"/>
              <w:spacing w:after="60" w:before="60"/>
              <w:jc w:val="center"/>
            </w:pPr>
            <w:r>
              <w:rPr>
                <w:rFonts w:ascii="Segoe UI Light" w:hAnsi="Segoe UI Light"/>
                <w:b w:val="0"/>
                <w:sz w:val="18"/>
              </w:rPr>
              <w:t>28.4%</w:t>
            </w:r>
          </w:p>
        </w:tc>
        <w:tc>
          <w:tcPr>
            <w:tcW w:type="dxa" w:w="1606"/>
            <w:shd w:fill="F1F5F9" w:val="clear"/>
            <w:vAlign w:val="center"/>
          </w:tcPr>
          <w:p>
            <w:pPr>
              <w:keepNext w:val="0"/>
              <w:spacing w:after="60" w:before="60"/>
              <w:jc w:val="center"/>
            </w:pPr>
            <w:r>
              <w:rPr>
                <w:rFonts w:ascii="Segoe UI Light" w:hAnsi="Segoe UI Light"/>
                <w:b w:val="0"/>
                <w:sz w:val="18"/>
              </w:rPr>
              <w:t>43.7%</w:t>
            </w:r>
          </w:p>
        </w:tc>
        <w:tc>
          <w:tcPr>
            <w:tcW w:type="dxa" w:w="1606"/>
            <w:shd w:fill="F1F5F9" w:val="clear"/>
            <w:vAlign w:val="center"/>
          </w:tcPr>
          <w:p>
            <w:pPr>
              <w:keepNext w:val="0"/>
              <w:spacing w:after="60" w:before="60"/>
              <w:jc w:val="center"/>
            </w:pPr>
            <w:r>
              <w:rPr>
                <w:rFonts w:ascii="Segoe UI Light" w:hAnsi="Segoe UI Light"/>
                <w:b w:val="0"/>
                <w:sz w:val="18"/>
              </w:rPr>
              <w:t>27.9%</w:t>
            </w:r>
          </w:p>
        </w:tc>
        <w:tc>
          <w:tcPr>
            <w:tcW w:type="dxa" w:w="2008"/>
            <w:shd w:fill="F1F5F9" w:val="clear"/>
            <w:vAlign w:val="center"/>
          </w:tcPr>
          <w:p>
            <w:pPr>
              <w:keepNext w:val="0"/>
              <w:spacing w:after="60" w:before="60"/>
              <w:jc w:val="left"/>
            </w:pPr>
            <w:r>
              <w:rPr>
                <w:rFonts w:ascii="Segoe UI Light" w:hAnsi="Segoe UI Light"/>
                <w:b w:val="0"/>
                <w:sz w:val="18"/>
              </w:rPr>
              <w:t>Higher is favourable</w:t>
            </w:r>
          </w:p>
        </w:tc>
      </w:tr>
      <w:tr>
        <w:trPr>
          <w:cantSplit/>
        </w:trPr>
        <w:tc>
          <w:tcPr>
            <w:tcW w:type="dxa" w:w="2811"/>
            <w:vAlign w:val="center"/>
          </w:tcPr>
          <w:p>
            <w:pPr>
              <w:keepNext w:val="0"/>
              <w:spacing w:after="60" w:before="60"/>
              <w:jc w:val="left"/>
            </w:pPr>
            <w:r>
              <w:rPr>
                <w:rFonts w:ascii="Segoe UI Light" w:hAnsi="Segoe UI Light"/>
                <w:b w:val="0"/>
                <w:sz w:val="18"/>
              </w:rPr>
              <w:t>Cognitive Demand</w:t>
            </w:r>
          </w:p>
        </w:tc>
        <w:tc>
          <w:tcPr>
            <w:tcW w:type="dxa" w:w="1606"/>
            <w:vAlign w:val="center"/>
          </w:tcPr>
          <w:p>
            <w:pPr>
              <w:keepNext w:val="0"/>
              <w:spacing w:after="60" w:before="60"/>
              <w:jc w:val="center"/>
            </w:pPr>
            <w:r>
              <w:rPr>
                <w:rFonts w:ascii="Segoe UI Light" w:hAnsi="Segoe UI Light"/>
                <w:b w:val="0"/>
                <w:sz w:val="18"/>
              </w:rPr>
              <w:t>12.5%</w:t>
            </w:r>
          </w:p>
        </w:tc>
        <w:tc>
          <w:tcPr>
            <w:tcW w:type="dxa" w:w="1606"/>
            <w:vAlign w:val="center"/>
          </w:tcPr>
          <w:p>
            <w:pPr>
              <w:keepNext w:val="0"/>
              <w:spacing w:after="60" w:before="60"/>
              <w:jc w:val="center"/>
            </w:pPr>
            <w:r>
              <w:rPr>
                <w:rFonts w:ascii="Segoe UI Light" w:hAnsi="Segoe UI Light"/>
                <w:b w:val="0"/>
                <w:sz w:val="18"/>
              </w:rPr>
              <w:t>45.2%</w:t>
            </w:r>
          </w:p>
        </w:tc>
        <w:tc>
          <w:tcPr>
            <w:tcW w:type="dxa" w:w="1606"/>
            <w:vAlign w:val="center"/>
          </w:tcPr>
          <w:p>
            <w:pPr>
              <w:keepNext w:val="0"/>
              <w:spacing w:after="60" w:before="60"/>
              <w:jc w:val="center"/>
            </w:pPr>
            <w:r>
              <w:rPr>
                <w:rFonts w:ascii="Segoe UI Light" w:hAnsi="Segoe UI Light"/>
                <w:b w:val="0"/>
                <w:sz w:val="18"/>
              </w:rPr>
              <w:t>42.3%</w:t>
            </w:r>
          </w:p>
        </w:tc>
        <w:tc>
          <w:tcPr>
            <w:tcW w:type="dxa" w:w="2008"/>
            <w:vAlign w:val="center"/>
          </w:tcPr>
          <w:p>
            <w:pPr>
              <w:keepNext w:val="0"/>
              <w:spacing w:after="60" w:before="60"/>
              <w:jc w:val="left"/>
            </w:pPr>
            <w:r>
              <w:rPr>
                <w:rFonts w:ascii="Segoe UI Light" w:hAnsi="Segoe UI Light"/>
                <w:b w:val="0"/>
                <w:sz w:val="18"/>
              </w:rPr>
              <w:t>Lower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Coworker Support</w:t>
            </w:r>
          </w:p>
        </w:tc>
        <w:tc>
          <w:tcPr>
            <w:tcW w:type="dxa" w:w="1606"/>
            <w:shd w:fill="F1F5F9" w:val="clear"/>
            <w:vAlign w:val="center"/>
          </w:tcPr>
          <w:p>
            <w:pPr>
              <w:keepNext w:val="0"/>
              <w:spacing w:after="60" w:before="60"/>
              <w:jc w:val="center"/>
            </w:pPr>
            <w:r>
              <w:rPr>
                <w:rFonts w:ascii="Segoe UI Light" w:hAnsi="Segoe UI Light"/>
                <w:b w:val="0"/>
                <w:sz w:val="18"/>
              </w:rPr>
              <w:t>15.7%</w:t>
            </w:r>
          </w:p>
        </w:tc>
        <w:tc>
          <w:tcPr>
            <w:tcW w:type="dxa" w:w="1606"/>
            <w:shd w:fill="F1F5F9" w:val="clear"/>
            <w:vAlign w:val="center"/>
          </w:tcPr>
          <w:p>
            <w:pPr>
              <w:keepNext w:val="0"/>
              <w:spacing w:after="60" w:before="60"/>
              <w:jc w:val="center"/>
            </w:pPr>
            <w:r>
              <w:rPr>
                <w:rFonts w:ascii="Segoe UI Light" w:hAnsi="Segoe UI Light"/>
                <w:b w:val="0"/>
                <w:sz w:val="18"/>
              </w:rPr>
              <w:t>42.0%</w:t>
            </w:r>
          </w:p>
        </w:tc>
        <w:tc>
          <w:tcPr>
            <w:tcW w:type="dxa" w:w="1606"/>
            <w:shd w:fill="F1F5F9" w:val="clear"/>
            <w:vAlign w:val="center"/>
          </w:tcPr>
          <w:p>
            <w:pPr>
              <w:keepNext w:val="0"/>
              <w:spacing w:after="60" w:before="60"/>
              <w:jc w:val="center"/>
            </w:pPr>
            <w:r>
              <w:rPr>
                <w:rFonts w:ascii="Segoe UI Light" w:hAnsi="Segoe UI Light"/>
                <w:b w:val="0"/>
                <w:sz w:val="18"/>
              </w:rPr>
              <w:t>42.2%</w:t>
            </w:r>
          </w:p>
        </w:tc>
        <w:tc>
          <w:tcPr>
            <w:tcW w:type="dxa" w:w="2008"/>
            <w:shd w:fill="F1F5F9" w:val="clear"/>
            <w:vAlign w:val="center"/>
          </w:tcPr>
          <w:p>
            <w:pPr>
              <w:keepNext w:val="0"/>
              <w:spacing w:after="60" w:before="60"/>
              <w:jc w:val="left"/>
            </w:pPr>
            <w:r>
              <w:rPr>
                <w:rFonts w:ascii="Segoe UI Light" w:hAnsi="Segoe UI Light"/>
                <w:b w:val="0"/>
                <w:sz w:val="18"/>
              </w:rPr>
              <w:t>Higher is favourable</w:t>
            </w:r>
          </w:p>
        </w:tc>
      </w:tr>
      <w:tr>
        <w:trPr>
          <w:cantSplit/>
        </w:trPr>
        <w:tc>
          <w:tcPr>
            <w:tcW w:type="dxa" w:w="2811"/>
            <w:vAlign w:val="center"/>
          </w:tcPr>
          <w:p>
            <w:pPr>
              <w:keepNext w:val="0"/>
              <w:spacing w:after="60" w:before="60"/>
              <w:jc w:val="left"/>
            </w:pPr>
            <w:r>
              <w:rPr>
                <w:rFonts w:ascii="Segoe UI Light" w:hAnsi="Segoe UI Light"/>
                <w:b w:val="0"/>
                <w:sz w:val="18"/>
              </w:rPr>
              <w:t>Development Growth</w:t>
            </w:r>
          </w:p>
        </w:tc>
        <w:tc>
          <w:tcPr>
            <w:tcW w:type="dxa" w:w="1606"/>
            <w:vAlign w:val="center"/>
          </w:tcPr>
          <w:p>
            <w:pPr>
              <w:keepNext w:val="0"/>
              <w:spacing w:after="60" w:before="60"/>
              <w:jc w:val="center"/>
            </w:pPr>
            <w:r>
              <w:rPr>
                <w:rFonts w:ascii="Segoe UI Light" w:hAnsi="Segoe UI Light"/>
                <w:b w:val="0"/>
                <w:sz w:val="18"/>
              </w:rPr>
              <w:t>14.1%</w:t>
            </w:r>
          </w:p>
        </w:tc>
        <w:tc>
          <w:tcPr>
            <w:tcW w:type="dxa" w:w="1606"/>
            <w:vAlign w:val="center"/>
          </w:tcPr>
          <w:p>
            <w:pPr>
              <w:keepNext w:val="0"/>
              <w:spacing w:after="60" w:before="60"/>
              <w:jc w:val="center"/>
            </w:pPr>
            <w:r>
              <w:rPr>
                <w:rFonts w:ascii="Segoe UI Light" w:hAnsi="Segoe UI Light"/>
                <w:b w:val="0"/>
                <w:sz w:val="18"/>
              </w:rPr>
              <w:t>37.8%</w:t>
            </w:r>
          </w:p>
        </w:tc>
        <w:tc>
          <w:tcPr>
            <w:tcW w:type="dxa" w:w="1606"/>
            <w:vAlign w:val="center"/>
          </w:tcPr>
          <w:p>
            <w:pPr>
              <w:keepNext w:val="0"/>
              <w:spacing w:after="60" w:before="60"/>
              <w:jc w:val="center"/>
            </w:pPr>
            <w:r>
              <w:rPr>
                <w:rFonts w:ascii="Segoe UI Light" w:hAnsi="Segoe UI Light"/>
                <w:b w:val="0"/>
                <w:sz w:val="18"/>
              </w:rPr>
              <w:t>48.1%</w:t>
            </w:r>
          </w:p>
        </w:tc>
        <w:tc>
          <w:tcPr>
            <w:tcW w:type="dxa" w:w="2008"/>
            <w:vAlign w:val="center"/>
          </w:tcPr>
          <w:p>
            <w:pPr>
              <w:keepNext w:val="0"/>
              <w:spacing w:after="60" w:before="60"/>
              <w:jc w:val="left"/>
            </w:pPr>
            <w:r>
              <w:rPr>
                <w:rFonts w:ascii="Segoe UI Light" w:hAnsi="Segoe UI Light"/>
                <w:b w:val="0"/>
                <w:sz w:val="18"/>
              </w:rPr>
              <w:t>Higher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Emotional Demand</w:t>
            </w:r>
          </w:p>
        </w:tc>
        <w:tc>
          <w:tcPr>
            <w:tcW w:type="dxa" w:w="1606"/>
            <w:shd w:fill="F1F5F9" w:val="clear"/>
            <w:vAlign w:val="center"/>
          </w:tcPr>
          <w:p>
            <w:pPr>
              <w:keepNext w:val="0"/>
              <w:spacing w:after="60" w:before="60"/>
              <w:jc w:val="center"/>
            </w:pPr>
            <w:r>
              <w:rPr>
                <w:rFonts w:ascii="Segoe UI Light" w:hAnsi="Segoe UI Light"/>
                <w:b w:val="0"/>
                <w:sz w:val="18"/>
              </w:rPr>
              <w:t>45.3%</w:t>
            </w:r>
          </w:p>
        </w:tc>
        <w:tc>
          <w:tcPr>
            <w:tcW w:type="dxa" w:w="1606"/>
            <w:shd w:fill="F1F5F9" w:val="clear"/>
            <w:vAlign w:val="center"/>
          </w:tcPr>
          <w:p>
            <w:pPr>
              <w:keepNext w:val="0"/>
              <w:spacing w:after="60" w:before="60"/>
              <w:jc w:val="center"/>
            </w:pPr>
            <w:r>
              <w:rPr>
                <w:rFonts w:ascii="Segoe UI Light" w:hAnsi="Segoe UI Light"/>
                <w:b w:val="0"/>
                <w:sz w:val="18"/>
              </w:rPr>
              <w:t>33.1%</w:t>
            </w:r>
          </w:p>
        </w:tc>
        <w:tc>
          <w:tcPr>
            <w:tcW w:type="dxa" w:w="1606"/>
            <w:shd w:fill="F1F5F9" w:val="clear"/>
            <w:vAlign w:val="center"/>
          </w:tcPr>
          <w:p>
            <w:pPr>
              <w:keepNext w:val="0"/>
              <w:spacing w:after="60" w:before="60"/>
              <w:jc w:val="center"/>
            </w:pPr>
            <w:r>
              <w:rPr>
                <w:rFonts w:ascii="Segoe UI Light" w:hAnsi="Segoe UI Light"/>
                <w:b w:val="0"/>
                <w:sz w:val="18"/>
              </w:rPr>
              <w:t>21.6%</w:t>
            </w:r>
          </w:p>
        </w:tc>
        <w:tc>
          <w:tcPr>
            <w:tcW w:type="dxa" w:w="2008"/>
            <w:shd w:fill="F1F5F9" w:val="clear"/>
            <w:vAlign w:val="center"/>
          </w:tcPr>
          <w:p>
            <w:pPr>
              <w:keepNext w:val="0"/>
              <w:spacing w:after="60" w:before="60"/>
              <w:jc w:val="left"/>
            </w:pPr>
            <w:r>
              <w:rPr>
                <w:rFonts w:ascii="Segoe UI Light" w:hAnsi="Segoe UI Light"/>
                <w:b w:val="0"/>
                <w:sz w:val="18"/>
              </w:rPr>
              <w:t>Lower is favourable</w:t>
            </w:r>
          </w:p>
        </w:tc>
      </w:tr>
      <w:tr>
        <w:trPr>
          <w:cantSplit/>
        </w:trPr>
        <w:tc>
          <w:tcPr>
            <w:tcW w:type="dxa" w:w="2811"/>
            <w:vAlign w:val="center"/>
          </w:tcPr>
          <w:p>
            <w:pPr>
              <w:keepNext w:val="0"/>
              <w:spacing w:after="60" w:before="60"/>
              <w:jc w:val="left"/>
            </w:pPr>
            <w:r>
              <w:rPr>
                <w:rFonts w:ascii="Segoe UI Light" w:hAnsi="Segoe UI Light"/>
                <w:b w:val="0"/>
                <w:sz w:val="18"/>
              </w:rPr>
              <w:t>Job Control</w:t>
            </w:r>
          </w:p>
        </w:tc>
        <w:tc>
          <w:tcPr>
            <w:tcW w:type="dxa" w:w="1606"/>
            <w:vAlign w:val="center"/>
          </w:tcPr>
          <w:p>
            <w:pPr>
              <w:keepNext w:val="0"/>
              <w:spacing w:after="60" w:before="60"/>
              <w:jc w:val="center"/>
            </w:pPr>
            <w:r>
              <w:rPr>
                <w:rFonts w:ascii="Segoe UI Light" w:hAnsi="Segoe UI Light"/>
                <w:b w:val="0"/>
                <w:sz w:val="18"/>
              </w:rPr>
              <w:t>24.3%</w:t>
            </w:r>
          </w:p>
        </w:tc>
        <w:tc>
          <w:tcPr>
            <w:tcW w:type="dxa" w:w="1606"/>
            <w:vAlign w:val="center"/>
          </w:tcPr>
          <w:p>
            <w:pPr>
              <w:keepNext w:val="0"/>
              <w:spacing w:after="60" w:before="60"/>
              <w:jc w:val="center"/>
            </w:pPr>
            <w:r>
              <w:rPr>
                <w:rFonts w:ascii="Segoe UI Light" w:hAnsi="Segoe UI Light"/>
                <w:b w:val="0"/>
                <w:sz w:val="18"/>
              </w:rPr>
              <w:t>48.0%</w:t>
            </w:r>
          </w:p>
        </w:tc>
        <w:tc>
          <w:tcPr>
            <w:tcW w:type="dxa" w:w="1606"/>
            <w:vAlign w:val="center"/>
          </w:tcPr>
          <w:p>
            <w:pPr>
              <w:keepNext w:val="0"/>
              <w:spacing w:after="60" w:before="60"/>
              <w:jc w:val="center"/>
            </w:pPr>
            <w:r>
              <w:rPr>
                <w:rFonts w:ascii="Segoe UI Light" w:hAnsi="Segoe UI Light"/>
                <w:b w:val="0"/>
                <w:sz w:val="18"/>
              </w:rPr>
              <w:t>27.7%</w:t>
            </w:r>
          </w:p>
        </w:tc>
        <w:tc>
          <w:tcPr>
            <w:tcW w:type="dxa" w:w="2008"/>
            <w:vAlign w:val="center"/>
          </w:tcPr>
          <w:p>
            <w:pPr>
              <w:keepNext w:val="0"/>
              <w:spacing w:after="60" w:before="60"/>
              <w:jc w:val="left"/>
            </w:pPr>
            <w:r>
              <w:rPr>
                <w:rFonts w:ascii="Segoe UI Light" w:hAnsi="Segoe UI Light"/>
                <w:b w:val="0"/>
                <w:sz w:val="18"/>
              </w:rPr>
              <w:t>Higher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Job Insecurity</w:t>
            </w:r>
          </w:p>
        </w:tc>
        <w:tc>
          <w:tcPr>
            <w:tcW w:type="dxa" w:w="1606"/>
            <w:shd w:fill="F1F5F9" w:val="clear"/>
            <w:vAlign w:val="center"/>
          </w:tcPr>
          <w:p>
            <w:pPr>
              <w:keepNext w:val="0"/>
              <w:spacing w:after="60" w:before="60"/>
              <w:jc w:val="center"/>
            </w:pPr>
            <w:r>
              <w:rPr>
                <w:rFonts w:ascii="Segoe UI Light" w:hAnsi="Segoe UI Light"/>
                <w:b w:val="0"/>
                <w:sz w:val="18"/>
              </w:rPr>
              <w:t>55.8%</w:t>
            </w:r>
          </w:p>
        </w:tc>
        <w:tc>
          <w:tcPr>
            <w:tcW w:type="dxa" w:w="1606"/>
            <w:shd w:fill="F1F5F9" w:val="clear"/>
            <w:vAlign w:val="center"/>
          </w:tcPr>
          <w:p>
            <w:pPr>
              <w:keepNext w:val="0"/>
              <w:spacing w:after="60" w:before="60"/>
              <w:jc w:val="center"/>
            </w:pPr>
            <w:r>
              <w:rPr>
                <w:rFonts w:ascii="Segoe UI Light" w:hAnsi="Segoe UI Light"/>
                <w:b w:val="0"/>
                <w:sz w:val="18"/>
              </w:rPr>
              <w:t>28.9%</w:t>
            </w:r>
          </w:p>
        </w:tc>
        <w:tc>
          <w:tcPr>
            <w:tcW w:type="dxa" w:w="1606"/>
            <w:shd w:fill="F1F5F9" w:val="clear"/>
            <w:vAlign w:val="center"/>
          </w:tcPr>
          <w:p>
            <w:pPr>
              <w:keepNext w:val="0"/>
              <w:spacing w:after="60" w:before="60"/>
              <w:jc w:val="center"/>
            </w:pPr>
            <w:r>
              <w:rPr>
                <w:rFonts w:ascii="Segoe UI Light" w:hAnsi="Segoe UI Light"/>
                <w:b w:val="0"/>
                <w:sz w:val="18"/>
              </w:rPr>
              <w:t>15.4%</w:t>
            </w:r>
          </w:p>
        </w:tc>
        <w:tc>
          <w:tcPr>
            <w:tcW w:type="dxa" w:w="2008"/>
            <w:shd w:fill="F1F5F9" w:val="clear"/>
            <w:vAlign w:val="center"/>
          </w:tcPr>
          <w:p>
            <w:pPr>
              <w:keepNext w:val="0"/>
              <w:spacing w:after="60" w:before="60"/>
              <w:jc w:val="left"/>
            </w:pPr>
            <w:r>
              <w:rPr>
                <w:rFonts w:ascii="Segoe UI Light" w:hAnsi="Segoe UI Light"/>
                <w:b w:val="0"/>
                <w:sz w:val="18"/>
              </w:rPr>
              <w:t>Lower is favourable</w:t>
            </w:r>
          </w:p>
        </w:tc>
      </w:tr>
      <w:tr>
        <w:trPr>
          <w:cantSplit/>
        </w:trPr>
        <w:tc>
          <w:tcPr>
            <w:tcW w:type="dxa" w:w="2811"/>
            <w:vAlign w:val="center"/>
          </w:tcPr>
          <w:p>
            <w:pPr>
              <w:keepNext w:val="0"/>
              <w:spacing w:after="60" w:before="60"/>
              <w:jc w:val="left"/>
            </w:pPr>
            <w:r>
              <w:rPr>
                <w:rFonts w:ascii="Segoe UI Light" w:hAnsi="Segoe UI Light"/>
                <w:b w:val="0"/>
                <w:sz w:val="18"/>
              </w:rPr>
              <w:t>Meaningful Work</w:t>
            </w:r>
          </w:p>
        </w:tc>
        <w:tc>
          <w:tcPr>
            <w:tcW w:type="dxa" w:w="1606"/>
            <w:vAlign w:val="center"/>
          </w:tcPr>
          <w:p>
            <w:pPr>
              <w:keepNext w:val="0"/>
              <w:spacing w:after="60" w:before="60"/>
              <w:jc w:val="center"/>
            </w:pPr>
            <w:r>
              <w:rPr>
                <w:rFonts w:ascii="Segoe UI Light" w:hAnsi="Segoe UI Light"/>
                <w:b w:val="0"/>
                <w:sz w:val="18"/>
              </w:rPr>
              <w:t>14.5%</w:t>
            </w:r>
          </w:p>
        </w:tc>
        <w:tc>
          <w:tcPr>
            <w:tcW w:type="dxa" w:w="1606"/>
            <w:vAlign w:val="center"/>
          </w:tcPr>
          <w:p>
            <w:pPr>
              <w:keepNext w:val="0"/>
              <w:spacing w:after="60" w:before="60"/>
              <w:jc w:val="center"/>
            </w:pPr>
            <w:r>
              <w:rPr>
                <w:rFonts w:ascii="Segoe UI Light" w:hAnsi="Segoe UI Light"/>
                <w:b w:val="0"/>
                <w:sz w:val="18"/>
              </w:rPr>
              <w:t>30.6%</w:t>
            </w:r>
          </w:p>
        </w:tc>
        <w:tc>
          <w:tcPr>
            <w:tcW w:type="dxa" w:w="1606"/>
            <w:vAlign w:val="center"/>
          </w:tcPr>
          <w:p>
            <w:pPr>
              <w:keepNext w:val="0"/>
              <w:spacing w:after="60" w:before="60"/>
              <w:jc w:val="center"/>
            </w:pPr>
            <w:r>
              <w:rPr>
                <w:rFonts w:ascii="Segoe UI Light" w:hAnsi="Segoe UI Light"/>
                <w:b w:val="0"/>
                <w:sz w:val="18"/>
              </w:rPr>
              <w:t>54.9%</w:t>
            </w:r>
          </w:p>
        </w:tc>
        <w:tc>
          <w:tcPr>
            <w:tcW w:type="dxa" w:w="2008"/>
            <w:vAlign w:val="center"/>
          </w:tcPr>
          <w:p>
            <w:pPr>
              <w:keepNext w:val="0"/>
              <w:spacing w:after="60" w:before="60"/>
              <w:jc w:val="left"/>
            </w:pPr>
            <w:r>
              <w:rPr>
                <w:rFonts w:ascii="Segoe UI Light" w:hAnsi="Segoe UI Light"/>
                <w:b w:val="0"/>
                <w:sz w:val="18"/>
              </w:rPr>
              <w:t>Higher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Procedural Justice</w:t>
            </w:r>
          </w:p>
        </w:tc>
        <w:tc>
          <w:tcPr>
            <w:tcW w:type="dxa" w:w="1606"/>
            <w:shd w:fill="F1F5F9" w:val="clear"/>
            <w:vAlign w:val="center"/>
          </w:tcPr>
          <w:p>
            <w:pPr>
              <w:keepNext w:val="0"/>
              <w:spacing w:after="60" w:before="60"/>
              <w:jc w:val="center"/>
            </w:pPr>
            <w:r>
              <w:rPr>
                <w:rFonts w:ascii="Segoe UI Light" w:hAnsi="Segoe UI Light"/>
                <w:b w:val="0"/>
                <w:sz w:val="18"/>
              </w:rPr>
              <w:t>17.0%</w:t>
            </w:r>
          </w:p>
        </w:tc>
        <w:tc>
          <w:tcPr>
            <w:tcW w:type="dxa" w:w="1606"/>
            <w:shd w:fill="F1F5F9" w:val="clear"/>
            <w:vAlign w:val="center"/>
          </w:tcPr>
          <w:p>
            <w:pPr>
              <w:keepNext w:val="0"/>
              <w:spacing w:after="60" w:before="60"/>
              <w:jc w:val="center"/>
            </w:pPr>
            <w:r>
              <w:rPr>
                <w:rFonts w:ascii="Segoe UI Light" w:hAnsi="Segoe UI Light"/>
                <w:b w:val="0"/>
                <w:sz w:val="18"/>
              </w:rPr>
              <w:t>39.5%</w:t>
            </w:r>
          </w:p>
        </w:tc>
        <w:tc>
          <w:tcPr>
            <w:tcW w:type="dxa" w:w="1606"/>
            <w:shd w:fill="F1F5F9" w:val="clear"/>
            <w:vAlign w:val="center"/>
          </w:tcPr>
          <w:p>
            <w:pPr>
              <w:keepNext w:val="0"/>
              <w:spacing w:after="60" w:before="60"/>
              <w:jc w:val="center"/>
            </w:pPr>
            <w:r>
              <w:rPr>
                <w:rFonts w:ascii="Segoe UI Light" w:hAnsi="Segoe UI Light"/>
                <w:b w:val="0"/>
                <w:sz w:val="18"/>
              </w:rPr>
              <w:t>43.5%</w:t>
            </w:r>
          </w:p>
        </w:tc>
        <w:tc>
          <w:tcPr>
            <w:tcW w:type="dxa" w:w="2008"/>
            <w:shd w:fill="F1F5F9" w:val="clear"/>
            <w:vAlign w:val="center"/>
          </w:tcPr>
          <w:p>
            <w:pPr>
              <w:keepNext w:val="0"/>
              <w:spacing w:after="60" w:before="60"/>
              <w:jc w:val="left"/>
            </w:pPr>
            <w:r>
              <w:rPr>
                <w:rFonts w:ascii="Segoe UI Light" w:hAnsi="Segoe UI Light"/>
                <w:b w:val="0"/>
                <w:sz w:val="18"/>
              </w:rPr>
              <w:t>Higher is favourable</w:t>
            </w:r>
          </w:p>
        </w:tc>
      </w:tr>
      <w:tr>
        <w:trPr>
          <w:cantSplit/>
        </w:trPr>
        <w:tc>
          <w:tcPr>
            <w:tcW w:type="dxa" w:w="2811"/>
            <w:vAlign w:val="center"/>
          </w:tcPr>
          <w:p>
            <w:pPr>
              <w:keepNext w:val="0"/>
              <w:spacing w:after="60" w:before="60"/>
              <w:jc w:val="left"/>
            </w:pPr>
            <w:r>
              <w:rPr>
                <w:rFonts w:ascii="Segoe UI Light" w:hAnsi="Segoe UI Light"/>
                <w:b w:val="0"/>
                <w:sz w:val="18"/>
              </w:rPr>
              <w:t>Psych Distress</w:t>
            </w:r>
          </w:p>
        </w:tc>
        <w:tc>
          <w:tcPr>
            <w:tcW w:type="dxa" w:w="1606"/>
            <w:vAlign w:val="center"/>
          </w:tcPr>
          <w:p>
            <w:pPr>
              <w:keepNext w:val="0"/>
              <w:spacing w:after="60" w:before="60"/>
              <w:jc w:val="center"/>
            </w:pPr>
            <w:r>
              <w:rPr>
                <w:rFonts w:ascii="Segoe UI Light" w:hAnsi="Segoe UI Light"/>
                <w:b w:val="0"/>
                <w:sz w:val="18"/>
              </w:rPr>
              <w:t>45.4%</w:t>
            </w:r>
          </w:p>
        </w:tc>
        <w:tc>
          <w:tcPr>
            <w:tcW w:type="dxa" w:w="1606"/>
            <w:vAlign w:val="center"/>
          </w:tcPr>
          <w:p>
            <w:pPr>
              <w:keepNext w:val="0"/>
              <w:spacing w:after="60" w:before="60"/>
              <w:jc w:val="center"/>
            </w:pPr>
            <w:r>
              <w:rPr>
                <w:rFonts w:ascii="Segoe UI Light" w:hAnsi="Segoe UI Light"/>
                <w:b w:val="0"/>
                <w:sz w:val="18"/>
              </w:rPr>
              <w:t>36.2%</w:t>
            </w:r>
          </w:p>
        </w:tc>
        <w:tc>
          <w:tcPr>
            <w:tcW w:type="dxa" w:w="1606"/>
            <w:vAlign w:val="center"/>
          </w:tcPr>
          <w:p>
            <w:pPr>
              <w:keepNext w:val="0"/>
              <w:spacing w:after="60" w:before="60"/>
              <w:jc w:val="center"/>
            </w:pPr>
            <w:r>
              <w:rPr>
                <w:rFonts w:ascii="Segoe UI Light" w:hAnsi="Segoe UI Light"/>
                <w:b w:val="0"/>
                <w:sz w:val="18"/>
              </w:rPr>
              <w:t>18.4%</w:t>
            </w:r>
          </w:p>
        </w:tc>
        <w:tc>
          <w:tcPr>
            <w:tcW w:type="dxa" w:w="2008"/>
            <w:vAlign w:val="center"/>
          </w:tcPr>
          <w:p>
            <w:pPr>
              <w:keepNext w:val="0"/>
              <w:spacing w:after="60" w:before="60"/>
              <w:jc w:val="left"/>
            </w:pPr>
            <w:r>
              <w:rPr>
                <w:rFonts w:ascii="Segoe UI Light" w:hAnsi="Segoe UI Light"/>
                <w:b w:val="0"/>
                <w:sz w:val="18"/>
              </w:rPr>
              <w:t>Lower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Psychological Safety</w:t>
            </w:r>
          </w:p>
        </w:tc>
        <w:tc>
          <w:tcPr>
            <w:tcW w:type="dxa" w:w="1606"/>
            <w:shd w:fill="F1F5F9" w:val="clear"/>
            <w:vAlign w:val="center"/>
          </w:tcPr>
          <w:p>
            <w:pPr>
              <w:keepNext w:val="0"/>
              <w:spacing w:after="60" w:before="60"/>
              <w:jc w:val="center"/>
            </w:pPr>
            <w:r>
              <w:rPr>
                <w:rFonts w:ascii="Segoe UI Light" w:hAnsi="Segoe UI Light"/>
                <w:b w:val="0"/>
                <w:sz w:val="18"/>
              </w:rPr>
              <w:t>11.5%</w:t>
            </w:r>
          </w:p>
        </w:tc>
        <w:tc>
          <w:tcPr>
            <w:tcW w:type="dxa" w:w="1606"/>
            <w:shd w:fill="F1F5F9" w:val="clear"/>
            <w:vAlign w:val="center"/>
          </w:tcPr>
          <w:p>
            <w:pPr>
              <w:keepNext w:val="0"/>
              <w:spacing w:after="60" w:before="60"/>
              <w:jc w:val="center"/>
            </w:pPr>
            <w:r>
              <w:rPr>
                <w:rFonts w:ascii="Segoe UI Light" w:hAnsi="Segoe UI Light"/>
                <w:b w:val="0"/>
                <w:sz w:val="18"/>
              </w:rPr>
              <w:t>38.6%</w:t>
            </w:r>
          </w:p>
        </w:tc>
        <w:tc>
          <w:tcPr>
            <w:tcW w:type="dxa" w:w="1606"/>
            <w:shd w:fill="F1F5F9" w:val="clear"/>
            <w:vAlign w:val="center"/>
          </w:tcPr>
          <w:p>
            <w:pPr>
              <w:keepNext w:val="0"/>
              <w:spacing w:after="60" w:before="60"/>
              <w:jc w:val="center"/>
            </w:pPr>
            <w:r>
              <w:rPr>
                <w:rFonts w:ascii="Segoe UI Light" w:hAnsi="Segoe UI Light"/>
                <w:b w:val="0"/>
                <w:sz w:val="18"/>
              </w:rPr>
              <w:t>49.9%</w:t>
            </w:r>
          </w:p>
        </w:tc>
        <w:tc>
          <w:tcPr>
            <w:tcW w:type="dxa" w:w="2008"/>
            <w:shd w:fill="F1F5F9" w:val="clear"/>
            <w:vAlign w:val="center"/>
          </w:tcPr>
          <w:p>
            <w:pPr>
              <w:keepNext w:val="0"/>
              <w:spacing w:after="60" w:before="60"/>
              <w:jc w:val="left"/>
            </w:pPr>
            <w:r>
              <w:rPr>
                <w:rFonts w:ascii="Segoe UI Light" w:hAnsi="Segoe UI Light"/>
                <w:b w:val="0"/>
                <w:sz w:val="18"/>
              </w:rPr>
              <w:t>Higher is favourable</w:t>
            </w:r>
          </w:p>
        </w:tc>
      </w:tr>
      <w:tr>
        <w:trPr>
          <w:cantSplit/>
        </w:trPr>
        <w:tc>
          <w:tcPr>
            <w:tcW w:type="dxa" w:w="2811"/>
            <w:vAlign w:val="center"/>
          </w:tcPr>
          <w:p>
            <w:pPr>
              <w:keepNext w:val="0"/>
              <w:spacing w:after="60" w:before="60"/>
              <w:jc w:val="left"/>
            </w:pPr>
            <w:r>
              <w:rPr>
                <w:rFonts w:ascii="Segoe UI Light" w:hAnsi="Segoe UI Light"/>
                <w:b w:val="0"/>
                <w:sz w:val="18"/>
              </w:rPr>
              <w:t>Recognition</w:t>
            </w:r>
          </w:p>
        </w:tc>
        <w:tc>
          <w:tcPr>
            <w:tcW w:type="dxa" w:w="1606"/>
            <w:vAlign w:val="center"/>
          </w:tcPr>
          <w:p>
            <w:pPr>
              <w:keepNext w:val="0"/>
              <w:spacing w:after="60" w:before="60"/>
              <w:jc w:val="center"/>
            </w:pPr>
            <w:r>
              <w:rPr>
                <w:rFonts w:ascii="Segoe UI Light" w:hAnsi="Segoe UI Light"/>
                <w:b w:val="0"/>
                <w:sz w:val="18"/>
              </w:rPr>
              <w:t>16.8%</w:t>
            </w:r>
          </w:p>
        </w:tc>
        <w:tc>
          <w:tcPr>
            <w:tcW w:type="dxa" w:w="1606"/>
            <w:vAlign w:val="center"/>
          </w:tcPr>
          <w:p>
            <w:pPr>
              <w:keepNext w:val="0"/>
              <w:spacing w:after="60" w:before="60"/>
              <w:jc w:val="center"/>
            </w:pPr>
            <w:r>
              <w:rPr>
                <w:rFonts w:ascii="Segoe UI Light" w:hAnsi="Segoe UI Light"/>
                <w:b w:val="0"/>
                <w:sz w:val="18"/>
              </w:rPr>
              <w:t>33.3%</w:t>
            </w:r>
          </w:p>
        </w:tc>
        <w:tc>
          <w:tcPr>
            <w:tcW w:type="dxa" w:w="1606"/>
            <w:vAlign w:val="center"/>
          </w:tcPr>
          <w:p>
            <w:pPr>
              <w:keepNext w:val="0"/>
              <w:spacing w:after="60" w:before="60"/>
              <w:jc w:val="center"/>
            </w:pPr>
            <w:r>
              <w:rPr>
                <w:rFonts w:ascii="Segoe UI Light" w:hAnsi="Segoe UI Light"/>
                <w:b w:val="0"/>
                <w:sz w:val="18"/>
              </w:rPr>
              <w:t>49.9%</w:t>
            </w:r>
          </w:p>
        </w:tc>
        <w:tc>
          <w:tcPr>
            <w:tcW w:type="dxa" w:w="2008"/>
            <w:vAlign w:val="center"/>
          </w:tcPr>
          <w:p>
            <w:pPr>
              <w:keepNext w:val="0"/>
              <w:spacing w:after="60" w:before="60"/>
              <w:jc w:val="left"/>
            </w:pPr>
            <w:r>
              <w:rPr>
                <w:rFonts w:ascii="Segoe UI Light" w:hAnsi="Segoe UI Light"/>
                <w:b w:val="0"/>
                <w:sz w:val="18"/>
              </w:rPr>
              <w:t>Higher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Role Ambiguity</w:t>
            </w:r>
          </w:p>
        </w:tc>
        <w:tc>
          <w:tcPr>
            <w:tcW w:type="dxa" w:w="1606"/>
            <w:shd w:fill="F1F5F9" w:val="clear"/>
            <w:vAlign w:val="center"/>
          </w:tcPr>
          <w:p>
            <w:pPr>
              <w:keepNext w:val="0"/>
              <w:spacing w:after="60" w:before="60"/>
              <w:jc w:val="center"/>
            </w:pPr>
            <w:r>
              <w:rPr>
                <w:rFonts w:ascii="Segoe UI Light" w:hAnsi="Segoe UI Light"/>
                <w:b w:val="0"/>
                <w:sz w:val="18"/>
              </w:rPr>
              <w:t>66.0%</w:t>
            </w:r>
          </w:p>
        </w:tc>
        <w:tc>
          <w:tcPr>
            <w:tcW w:type="dxa" w:w="1606"/>
            <w:shd w:fill="F1F5F9" w:val="clear"/>
            <w:vAlign w:val="center"/>
          </w:tcPr>
          <w:p>
            <w:pPr>
              <w:keepNext w:val="0"/>
              <w:spacing w:after="60" w:before="60"/>
              <w:jc w:val="center"/>
            </w:pPr>
            <w:r>
              <w:rPr>
                <w:rFonts w:ascii="Segoe UI Light" w:hAnsi="Segoe UI Light"/>
                <w:b w:val="0"/>
                <w:sz w:val="18"/>
              </w:rPr>
              <w:t>28.7%</w:t>
            </w:r>
          </w:p>
        </w:tc>
        <w:tc>
          <w:tcPr>
            <w:tcW w:type="dxa" w:w="1606"/>
            <w:shd w:fill="F1F5F9" w:val="clear"/>
            <w:vAlign w:val="center"/>
          </w:tcPr>
          <w:p>
            <w:pPr>
              <w:keepNext w:val="0"/>
              <w:spacing w:after="60" w:before="60"/>
              <w:jc w:val="center"/>
            </w:pPr>
            <w:r>
              <w:rPr>
                <w:rFonts w:ascii="Segoe UI Light" w:hAnsi="Segoe UI Light"/>
                <w:b w:val="0"/>
                <w:sz w:val="18"/>
              </w:rPr>
              <w:t>5.3%</w:t>
            </w:r>
          </w:p>
        </w:tc>
        <w:tc>
          <w:tcPr>
            <w:tcW w:type="dxa" w:w="2008"/>
            <w:shd w:fill="F1F5F9" w:val="clear"/>
            <w:vAlign w:val="center"/>
          </w:tcPr>
          <w:p>
            <w:pPr>
              <w:keepNext w:val="0"/>
              <w:spacing w:after="60" w:before="60"/>
              <w:jc w:val="left"/>
            </w:pPr>
            <w:r>
              <w:rPr>
                <w:rFonts w:ascii="Segoe UI Light" w:hAnsi="Segoe UI Light"/>
                <w:b w:val="0"/>
                <w:sz w:val="18"/>
              </w:rPr>
              <w:t>Lower is favourable</w:t>
            </w:r>
          </w:p>
        </w:tc>
      </w:tr>
      <w:tr>
        <w:trPr>
          <w:cantSplit/>
        </w:trPr>
        <w:tc>
          <w:tcPr>
            <w:tcW w:type="dxa" w:w="2811"/>
            <w:vAlign w:val="center"/>
          </w:tcPr>
          <w:p>
            <w:pPr>
              <w:keepNext w:val="0"/>
              <w:spacing w:after="60" w:before="60"/>
              <w:jc w:val="left"/>
            </w:pPr>
            <w:r>
              <w:rPr>
                <w:rFonts w:ascii="Segoe UI Light" w:hAnsi="Segoe UI Light"/>
                <w:b w:val="0"/>
                <w:sz w:val="18"/>
              </w:rPr>
              <w:t>Role Conflict</w:t>
            </w:r>
          </w:p>
        </w:tc>
        <w:tc>
          <w:tcPr>
            <w:tcW w:type="dxa" w:w="1606"/>
            <w:vAlign w:val="center"/>
          </w:tcPr>
          <w:p>
            <w:pPr>
              <w:keepNext w:val="0"/>
              <w:spacing w:after="60" w:before="60"/>
              <w:jc w:val="center"/>
            </w:pPr>
            <w:r>
              <w:rPr>
                <w:rFonts w:ascii="Segoe UI Light" w:hAnsi="Segoe UI Light"/>
                <w:b w:val="0"/>
                <w:sz w:val="18"/>
              </w:rPr>
              <w:t>41.1%</w:t>
            </w:r>
          </w:p>
        </w:tc>
        <w:tc>
          <w:tcPr>
            <w:tcW w:type="dxa" w:w="1606"/>
            <w:vAlign w:val="center"/>
          </w:tcPr>
          <w:p>
            <w:pPr>
              <w:keepNext w:val="0"/>
              <w:spacing w:after="60" w:before="60"/>
              <w:jc w:val="center"/>
            </w:pPr>
            <w:r>
              <w:rPr>
                <w:rFonts w:ascii="Segoe UI Light" w:hAnsi="Segoe UI Light"/>
                <w:b w:val="0"/>
                <w:sz w:val="18"/>
              </w:rPr>
              <w:t>36.8%</w:t>
            </w:r>
          </w:p>
        </w:tc>
        <w:tc>
          <w:tcPr>
            <w:tcW w:type="dxa" w:w="1606"/>
            <w:vAlign w:val="center"/>
          </w:tcPr>
          <w:p>
            <w:pPr>
              <w:keepNext w:val="0"/>
              <w:spacing w:after="60" w:before="60"/>
              <w:jc w:val="center"/>
            </w:pPr>
            <w:r>
              <w:rPr>
                <w:rFonts w:ascii="Segoe UI Light" w:hAnsi="Segoe UI Light"/>
                <w:b w:val="0"/>
                <w:sz w:val="18"/>
              </w:rPr>
              <w:t>22.1%</w:t>
            </w:r>
          </w:p>
        </w:tc>
        <w:tc>
          <w:tcPr>
            <w:tcW w:type="dxa" w:w="2008"/>
            <w:vAlign w:val="center"/>
          </w:tcPr>
          <w:p>
            <w:pPr>
              <w:keepNext w:val="0"/>
              <w:spacing w:after="60" w:before="60"/>
              <w:jc w:val="left"/>
            </w:pPr>
            <w:r>
              <w:rPr>
                <w:rFonts w:ascii="Segoe UI Light" w:hAnsi="Segoe UI Light"/>
                <w:b w:val="0"/>
                <w:sz w:val="18"/>
              </w:rPr>
              <w:t>Lower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Role Overload</w:t>
            </w:r>
          </w:p>
        </w:tc>
        <w:tc>
          <w:tcPr>
            <w:tcW w:type="dxa" w:w="1606"/>
            <w:shd w:fill="F1F5F9" w:val="clear"/>
            <w:vAlign w:val="center"/>
          </w:tcPr>
          <w:p>
            <w:pPr>
              <w:keepNext w:val="0"/>
              <w:spacing w:after="60" w:before="60"/>
              <w:jc w:val="center"/>
            </w:pPr>
            <w:r>
              <w:rPr>
                <w:rFonts w:ascii="Segoe UI Light" w:hAnsi="Segoe UI Light"/>
                <w:b w:val="0"/>
                <w:sz w:val="18"/>
              </w:rPr>
              <w:t>27.9%</w:t>
            </w:r>
          </w:p>
        </w:tc>
        <w:tc>
          <w:tcPr>
            <w:tcW w:type="dxa" w:w="1606"/>
            <w:shd w:fill="F1F5F9" w:val="clear"/>
            <w:vAlign w:val="center"/>
          </w:tcPr>
          <w:p>
            <w:pPr>
              <w:keepNext w:val="0"/>
              <w:spacing w:after="60" w:before="60"/>
              <w:jc w:val="center"/>
            </w:pPr>
            <w:r>
              <w:rPr>
                <w:rFonts w:ascii="Segoe UI Light" w:hAnsi="Segoe UI Light"/>
                <w:b w:val="0"/>
                <w:sz w:val="18"/>
              </w:rPr>
              <w:t>46.9%</w:t>
            </w:r>
          </w:p>
        </w:tc>
        <w:tc>
          <w:tcPr>
            <w:tcW w:type="dxa" w:w="1606"/>
            <w:shd w:fill="F1F5F9" w:val="clear"/>
            <w:vAlign w:val="center"/>
          </w:tcPr>
          <w:p>
            <w:pPr>
              <w:keepNext w:val="0"/>
              <w:spacing w:after="60" w:before="60"/>
              <w:jc w:val="center"/>
            </w:pPr>
            <w:r>
              <w:rPr>
                <w:rFonts w:ascii="Segoe UI Light" w:hAnsi="Segoe UI Light"/>
                <w:b w:val="0"/>
                <w:sz w:val="18"/>
              </w:rPr>
              <w:t>25.2%</w:t>
            </w:r>
          </w:p>
        </w:tc>
        <w:tc>
          <w:tcPr>
            <w:tcW w:type="dxa" w:w="2008"/>
            <w:shd w:fill="F1F5F9" w:val="clear"/>
            <w:vAlign w:val="center"/>
          </w:tcPr>
          <w:p>
            <w:pPr>
              <w:keepNext w:val="0"/>
              <w:spacing w:after="60" w:before="60"/>
              <w:jc w:val="left"/>
            </w:pPr>
            <w:r>
              <w:rPr>
                <w:rFonts w:ascii="Segoe UI Light" w:hAnsi="Segoe UI Light"/>
                <w:b w:val="0"/>
                <w:sz w:val="18"/>
              </w:rPr>
              <w:t>Lower is favourable</w:t>
            </w:r>
          </w:p>
        </w:tc>
      </w:tr>
      <w:tr>
        <w:trPr>
          <w:cantSplit/>
        </w:trPr>
        <w:tc>
          <w:tcPr>
            <w:tcW w:type="dxa" w:w="2811"/>
            <w:vAlign w:val="center"/>
          </w:tcPr>
          <w:p>
            <w:pPr>
              <w:keepNext w:val="0"/>
              <w:spacing w:after="60" w:before="60"/>
              <w:jc w:val="left"/>
            </w:pPr>
            <w:r>
              <w:rPr>
                <w:rFonts w:ascii="Segoe UI Light" w:hAnsi="Segoe UI Light"/>
                <w:b w:val="0"/>
                <w:sz w:val="18"/>
              </w:rPr>
              <w:t>Supervisor Support</w:t>
            </w:r>
          </w:p>
        </w:tc>
        <w:tc>
          <w:tcPr>
            <w:tcW w:type="dxa" w:w="1606"/>
            <w:vAlign w:val="center"/>
          </w:tcPr>
          <w:p>
            <w:pPr>
              <w:keepNext w:val="0"/>
              <w:spacing w:after="60" w:before="60"/>
              <w:jc w:val="center"/>
            </w:pPr>
            <w:r>
              <w:rPr>
                <w:rFonts w:ascii="Segoe UI Light" w:hAnsi="Segoe UI Light"/>
                <w:b w:val="0"/>
                <w:sz w:val="18"/>
              </w:rPr>
              <w:t>20.8%</w:t>
            </w:r>
          </w:p>
        </w:tc>
        <w:tc>
          <w:tcPr>
            <w:tcW w:type="dxa" w:w="1606"/>
            <w:vAlign w:val="center"/>
          </w:tcPr>
          <w:p>
            <w:pPr>
              <w:keepNext w:val="0"/>
              <w:spacing w:after="60" w:before="60"/>
              <w:jc w:val="center"/>
            </w:pPr>
            <w:r>
              <w:rPr>
                <w:rFonts w:ascii="Segoe UI Light" w:hAnsi="Segoe UI Light"/>
                <w:b w:val="0"/>
                <w:sz w:val="18"/>
              </w:rPr>
              <w:t>36.9%</w:t>
            </w:r>
          </w:p>
        </w:tc>
        <w:tc>
          <w:tcPr>
            <w:tcW w:type="dxa" w:w="1606"/>
            <w:vAlign w:val="center"/>
          </w:tcPr>
          <w:p>
            <w:pPr>
              <w:keepNext w:val="0"/>
              <w:spacing w:after="60" w:before="60"/>
              <w:jc w:val="center"/>
            </w:pPr>
            <w:r>
              <w:rPr>
                <w:rFonts w:ascii="Segoe UI Light" w:hAnsi="Segoe UI Light"/>
                <w:b w:val="0"/>
                <w:sz w:val="18"/>
              </w:rPr>
              <w:t>42.4%</w:t>
            </w:r>
          </w:p>
        </w:tc>
        <w:tc>
          <w:tcPr>
            <w:tcW w:type="dxa" w:w="2008"/>
            <w:vAlign w:val="center"/>
          </w:tcPr>
          <w:p>
            <w:pPr>
              <w:keepNext w:val="0"/>
              <w:spacing w:after="60" w:before="60"/>
              <w:jc w:val="left"/>
            </w:pPr>
            <w:r>
              <w:rPr>
                <w:rFonts w:ascii="Segoe UI Light" w:hAnsi="Segoe UI Light"/>
                <w:b w:val="0"/>
                <w:sz w:val="18"/>
              </w:rPr>
              <w:t>Higher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Work Engagement</w:t>
            </w:r>
          </w:p>
        </w:tc>
        <w:tc>
          <w:tcPr>
            <w:tcW w:type="dxa" w:w="1606"/>
            <w:shd w:fill="F1F5F9" w:val="clear"/>
            <w:vAlign w:val="center"/>
          </w:tcPr>
          <w:p>
            <w:pPr>
              <w:keepNext w:val="0"/>
              <w:spacing w:after="60" w:before="60"/>
              <w:jc w:val="center"/>
            </w:pPr>
            <w:r>
              <w:rPr>
                <w:rFonts w:ascii="Segoe UI Light" w:hAnsi="Segoe UI Light"/>
                <w:b w:val="0"/>
                <w:sz w:val="18"/>
              </w:rPr>
              <w:t>18.5%</w:t>
            </w:r>
          </w:p>
        </w:tc>
        <w:tc>
          <w:tcPr>
            <w:tcW w:type="dxa" w:w="1606"/>
            <w:shd w:fill="F1F5F9" w:val="clear"/>
            <w:vAlign w:val="center"/>
          </w:tcPr>
          <w:p>
            <w:pPr>
              <w:keepNext w:val="0"/>
              <w:spacing w:after="60" w:before="60"/>
              <w:jc w:val="center"/>
            </w:pPr>
            <w:r>
              <w:rPr>
                <w:rFonts w:ascii="Segoe UI Light" w:hAnsi="Segoe UI Light"/>
                <w:b w:val="0"/>
                <w:sz w:val="18"/>
              </w:rPr>
              <w:t>47.4%</w:t>
            </w:r>
          </w:p>
        </w:tc>
        <w:tc>
          <w:tcPr>
            <w:tcW w:type="dxa" w:w="1606"/>
            <w:shd w:fill="F1F5F9" w:val="clear"/>
            <w:vAlign w:val="center"/>
          </w:tcPr>
          <w:p>
            <w:pPr>
              <w:keepNext w:val="0"/>
              <w:spacing w:after="60" w:before="60"/>
              <w:jc w:val="center"/>
            </w:pPr>
            <w:r>
              <w:rPr>
                <w:rFonts w:ascii="Segoe UI Light" w:hAnsi="Segoe UI Light"/>
                <w:b w:val="0"/>
                <w:sz w:val="18"/>
              </w:rPr>
              <w:t>34.1%</w:t>
            </w:r>
          </w:p>
        </w:tc>
        <w:tc>
          <w:tcPr>
            <w:tcW w:type="dxa" w:w="2008"/>
            <w:shd w:fill="F1F5F9" w:val="clear"/>
            <w:vAlign w:val="center"/>
          </w:tcPr>
          <w:p>
            <w:pPr>
              <w:keepNext w:val="0"/>
              <w:spacing w:after="60" w:before="60"/>
              <w:jc w:val="left"/>
            </w:pPr>
            <w:r>
              <w:rPr>
                <w:rFonts w:ascii="Segoe UI Light" w:hAnsi="Segoe UI Light"/>
                <w:b w:val="0"/>
                <w:sz w:val="18"/>
              </w:rPr>
              <w:t>Higher is favourable</w:t>
            </w:r>
          </w:p>
        </w:tc>
      </w:tr>
      <w:tr>
        <w:trPr>
          <w:cantSplit/>
        </w:trPr>
        <w:tc>
          <w:tcPr>
            <w:tcW w:type="dxa" w:w="2811"/>
            <w:vAlign w:val="center"/>
          </w:tcPr>
          <w:p>
            <w:pPr>
              <w:keepNext w:val="0"/>
              <w:spacing w:after="60" w:before="60"/>
              <w:jc w:val="left"/>
            </w:pPr>
            <w:r>
              <w:rPr>
                <w:rFonts w:ascii="Segoe UI Light" w:hAnsi="Segoe UI Light"/>
                <w:b w:val="0"/>
                <w:sz w:val="18"/>
              </w:rPr>
              <w:t>Work Life Conflict</w:t>
            </w:r>
          </w:p>
        </w:tc>
        <w:tc>
          <w:tcPr>
            <w:tcW w:type="dxa" w:w="1606"/>
            <w:vAlign w:val="center"/>
          </w:tcPr>
          <w:p>
            <w:pPr>
              <w:keepNext w:val="0"/>
              <w:spacing w:after="60" w:before="60"/>
              <w:jc w:val="center"/>
            </w:pPr>
            <w:r>
              <w:rPr>
                <w:rFonts w:ascii="Segoe UI Light" w:hAnsi="Segoe UI Light"/>
                <w:b w:val="0"/>
                <w:sz w:val="18"/>
              </w:rPr>
              <w:t>45.5%</w:t>
            </w:r>
          </w:p>
        </w:tc>
        <w:tc>
          <w:tcPr>
            <w:tcW w:type="dxa" w:w="1606"/>
            <w:vAlign w:val="center"/>
          </w:tcPr>
          <w:p>
            <w:pPr>
              <w:keepNext w:val="0"/>
              <w:spacing w:after="60" w:before="60"/>
              <w:jc w:val="center"/>
            </w:pPr>
            <w:r>
              <w:rPr>
                <w:rFonts w:ascii="Segoe UI Light" w:hAnsi="Segoe UI Light"/>
                <w:b w:val="0"/>
                <w:sz w:val="18"/>
              </w:rPr>
              <w:t>34.3%</w:t>
            </w:r>
          </w:p>
        </w:tc>
        <w:tc>
          <w:tcPr>
            <w:tcW w:type="dxa" w:w="1606"/>
            <w:vAlign w:val="center"/>
          </w:tcPr>
          <w:p>
            <w:pPr>
              <w:keepNext w:val="0"/>
              <w:spacing w:after="60" w:before="60"/>
              <w:jc w:val="center"/>
            </w:pPr>
            <w:r>
              <w:rPr>
                <w:rFonts w:ascii="Segoe UI Light" w:hAnsi="Segoe UI Light"/>
                <w:b w:val="0"/>
                <w:sz w:val="18"/>
              </w:rPr>
              <w:t>20.2%</w:t>
            </w:r>
          </w:p>
        </w:tc>
        <w:tc>
          <w:tcPr>
            <w:tcW w:type="dxa" w:w="2008"/>
            <w:vAlign w:val="center"/>
          </w:tcPr>
          <w:p>
            <w:pPr>
              <w:keepNext w:val="0"/>
              <w:spacing w:after="60" w:before="60"/>
              <w:jc w:val="left"/>
            </w:pPr>
            <w:r>
              <w:rPr>
                <w:rFonts w:ascii="Segoe UI Light" w:hAnsi="Segoe UI Light"/>
                <w:b w:val="0"/>
                <w:sz w:val="18"/>
              </w:rPr>
              <w:t>Lower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Workplace Relationships</w:t>
            </w:r>
          </w:p>
        </w:tc>
        <w:tc>
          <w:tcPr>
            <w:tcW w:type="dxa" w:w="1606"/>
            <w:shd w:fill="F1F5F9" w:val="clear"/>
            <w:vAlign w:val="center"/>
          </w:tcPr>
          <w:p>
            <w:pPr>
              <w:keepNext w:val="0"/>
              <w:spacing w:after="60" w:before="60"/>
              <w:jc w:val="center"/>
            </w:pPr>
            <w:r>
              <w:rPr>
                <w:rFonts w:ascii="Segoe UI Light" w:hAnsi="Segoe UI Light"/>
                <w:b w:val="0"/>
                <w:sz w:val="18"/>
              </w:rPr>
              <w:t>11.1%</w:t>
            </w:r>
          </w:p>
        </w:tc>
        <w:tc>
          <w:tcPr>
            <w:tcW w:type="dxa" w:w="1606"/>
            <w:shd w:fill="F1F5F9" w:val="clear"/>
            <w:vAlign w:val="center"/>
          </w:tcPr>
          <w:p>
            <w:pPr>
              <w:keepNext w:val="0"/>
              <w:spacing w:after="60" w:before="60"/>
              <w:jc w:val="center"/>
            </w:pPr>
            <w:r>
              <w:rPr>
                <w:rFonts w:ascii="Segoe UI Light" w:hAnsi="Segoe UI Light"/>
                <w:b w:val="0"/>
                <w:sz w:val="18"/>
              </w:rPr>
              <w:t>32.1%</w:t>
            </w:r>
          </w:p>
        </w:tc>
        <w:tc>
          <w:tcPr>
            <w:tcW w:type="dxa" w:w="1606"/>
            <w:shd w:fill="F1F5F9" w:val="clear"/>
            <w:vAlign w:val="center"/>
          </w:tcPr>
          <w:p>
            <w:pPr>
              <w:keepNext w:val="0"/>
              <w:spacing w:after="60" w:before="60"/>
              <w:jc w:val="center"/>
            </w:pPr>
            <w:r>
              <w:rPr>
                <w:rFonts w:ascii="Segoe UI Light" w:hAnsi="Segoe UI Light"/>
                <w:b w:val="0"/>
                <w:sz w:val="18"/>
              </w:rPr>
              <w:t>56.8%</w:t>
            </w:r>
          </w:p>
        </w:tc>
        <w:tc>
          <w:tcPr>
            <w:tcW w:type="dxa" w:w="2008"/>
            <w:shd w:fill="F1F5F9" w:val="clear"/>
            <w:vAlign w:val="center"/>
          </w:tcPr>
          <w:p>
            <w:pPr>
              <w:keepNext w:val="0"/>
              <w:spacing w:after="60" w:before="60"/>
              <w:jc w:val="left"/>
            </w:pPr>
            <w:r>
              <w:rPr>
                <w:rFonts w:ascii="Segoe UI Light" w:hAnsi="Segoe UI Light"/>
                <w:b w:val="0"/>
                <w:sz w:val="18"/>
              </w:rPr>
              <w:t>Higher is favourable</w:t>
            </w:r>
          </w:p>
        </w:tc>
      </w:tr>
    </w:tbl>
    <w:p>
      <w:bookmarkStart w:id="21" w:name="_PWToc21"/>
      <w:pPr>
        <w:pStyle w:val="Heading2"/>
        <w:pageBreakBefore/>
      </w:pPr>
      <w:r>
        <w:rPr>
          <w:rFonts w:ascii="Segoe UI Light" w:hAnsi="Segoe UI Light"/>
          <w:b/>
          <w:color w:val="2D5A8E"/>
          <w:sz w:val="22"/>
        </w:rPr>
        <w:t>A3 – Simple Scenarios: One Factor at a Time</w:t>
      </w:r>
      <w:bookmarkEnd w:id="21"/>
    </w:p>
    <w:p>
      <w:pPr>
        <w:spacing w:after="160"/>
      </w:pPr>
      <w:r>
        <w:rPr>
          <w:rFonts w:ascii="Segoe UI Light" w:hAnsi="Segoe UI Light"/>
          <w:color w:val="64748B"/>
          <w:sz w:val="20"/>
        </w:rPr>
        <w:t>Each row compares a hypothetical change in one workplace factor with the starting model. Related conditions can change in the calculation; they are not all held fixed. The exact comparison state is shown where recorded. Positive values increase the named outcome state, which is favourable only where stated. The summed score adds changes across outcomes and is not a share of workers. Do not add separate rows to predict a joint effect.</w:t>
      </w:r>
    </w:p>
    <w:tbl>
      <w:tblPr>
        <w:tblStyle w:val="TableGrid"/>
        <w:tblLayout w:type="fixed"/>
        <w:tblLook w:firstColumn="1" w:firstRow="1" w:lastColumn="0" w:lastRow="0" w:noHBand="0" w:noVBand="1" w:val="04A0"/>
        <w:tblW w:w="5000" w:type="pct"/>
      </w:tblPr>
      <w:tblGrid>
        <w:gridCol w:w="2934"/>
        <w:gridCol w:w="1676"/>
        <w:gridCol w:w="1676"/>
        <w:gridCol w:w="1676"/>
        <w:gridCol w:w="1676"/>
      </w:tblGrid>
      <w:tr>
        <w:trPr>
          <w:tblHeader/>
          <w:cantSplit/>
        </w:trPr>
        <w:tc>
          <w:tcPr>
            <w:tcW w:type="dxa" w:w="2934"/>
            <w:shd w:fill="1E3A5F" w:val="clear"/>
            <w:vAlign w:val="center"/>
          </w:tcPr>
          <w:p>
            <w:pPr>
              <w:keepNext/>
              <w:spacing w:after="60" w:before="60"/>
              <w:jc w:val="left"/>
            </w:pPr>
            <w:r>
              <w:rPr>
                <w:rFonts w:ascii="Segoe UI Light" w:hAnsi="Segoe UI Light"/>
                <w:b/>
                <w:color w:val="FFFFFF"/>
                <w:sz w:val="18"/>
              </w:rPr>
              <w:t>Factor / scenario state</w:t>
            </w:r>
          </w:p>
        </w:tc>
        <w:tc>
          <w:tcPr>
            <w:tcW w:type="dxa" w:w="1676"/>
            <w:shd w:fill="1E3A5F" w:val="clear"/>
            <w:vAlign w:val="center"/>
          </w:tcPr>
          <w:p>
            <w:pPr>
              <w:keepNext/>
              <w:spacing w:after="60" w:before="60"/>
              <w:jc w:val="left"/>
            </w:pPr>
            <w:r>
              <w:rPr>
                <w:rFonts w:ascii="Segoe UI Light" w:hAnsi="Segoe UI Light"/>
                <w:b/>
                <w:color w:val="FFFFFF"/>
                <w:sz w:val="18"/>
              </w:rPr>
              <w:t>Work Engagement</w:t>
              <w:br/>
              <w:t>H (favourable)</w:t>
              <w:br/>
              <w:t>Change (pp)</w:t>
            </w:r>
          </w:p>
        </w:tc>
        <w:tc>
          <w:tcPr>
            <w:tcW w:type="dxa" w:w="1676"/>
            <w:shd w:fill="1E3A5F" w:val="clear"/>
            <w:vAlign w:val="center"/>
          </w:tcPr>
          <w:p>
            <w:pPr>
              <w:keepNext/>
              <w:spacing w:after="60" w:before="60"/>
              <w:jc w:val="left"/>
            </w:pPr>
            <w:r>
              <w:rPr>
                <w:rFonts w:ascii="Segoe UI Light" w:hAnsi="Segoe UI Light"/>
                <w:b/>
                <w:color w:val="FFFFFF"/>
                <w:sz w:val="18"/>
              </w:rPr>
              <w:t>Burnout</w:t>
              <w:br/>
              <w:t>L (favourable)</w:t>
              <w:br/>
              <w:t>Change (pp)</w:t>
            </w:r>
          </w:p>
        </w:tc>
        <w:tc>
          <w:tcPr>
            <w:tcW w:type="dxa" w:w="1676"/>
            <w:shd w:fill="1E3A5F" w:val="clear"/>
            <w:vAlign w:val="center"/>
          </w:tcPr>
          <w:p>
            <w:pPr>
              <w:keepNext/>
              <w:spacing w:after="60" w:before="60"/>
              <w:jc w:val="left"/>
            </w:pPr>
            <w:r>
              <w:rPr>
                <w:rFonts w:ascii="Segoe UI Light" w:hAnsi="Segoe UI Light"/>
                <w:b/>
                <w:color w:val="FFFFFF"/>
                <w:sz w:val="18"/>
              </w:rPr>
              <w:t>Psych Distress</w:t>
              <w:br/>
              <w:t>L (favourable)</w:t>
              <w:br/>
              <w:t>Change (pp)</w:t>
            </w:r>
          </w:p>
        </w:tc>
        <w:tc>
          <w:tcPr>
            <w:tcW w:type="dxa" w:w="1676"/>
            <w:shd w:fill="1E3A5F" w:val="clear"/>
            <w:vAlign w:val="center"/>
          </w:tcPr>
          <w:p>
            <w:pPr>
              <w:keepNext/>
              <w:spacing w:after="60" w:before="60"/>
              <w:jc w:val="left"/>
            </w:pPr>
            <w:r>
              <w:rPr>
                <w:rFonts w:ascii="Segoe UI Light" w:hAnsi="Segoe UI Light"/>
                <w:b/>
                <w:color w:val="FFFFFF"/>
                <w:sz w:val="18"/>
              </w:rPr>
              <w:t>Sum (points)</w:t>
            </w:r>
          </w:p>
        </w:tc>
      </w:tr>
      <w:tr>
        <w:trPr>
          <w:cantSplit/>
        </w:trPr>
        <w:tc>
          <w:tcPr>
            <w:tcW w:type="dxa" w:w="2934"/>
            <w:vAlign w:val="center"/>
          </w:tcPr>
          <w:p>
            <w:pPr>
              <w:keepNext w:val="0"/>
              <w:spacing w:after="60" w:before="60"/>
              <w:jc w:val="left"/>
            </w:pPr>
            <w:r>
              <w:rPr>
                <w:rFonts w:ascii="Segoe UI Light" w:hAnsi="Segoe UI Light"/>
                <w:b w:val="0"/>
                <w:sz w:val="18"/>
              </w:rPr>
              <w:t>Role Overload</w:t>
              <w:br/>
              <w:t>Scenario state: L</w:t>
            </w:r>
          </w:p>
        </w:tc>
        <w:tc>
          <w:tcPr>
            <w:tcW w:type="dxa" w:w="1676"/>
            <w:vAlign w:val="center"/>
          </w:tcPr>
          <w:p>
            <w:pPr>
              <w:keepNext w:val="0"/>
              <w:spacing w:after="60" w:before="60"/>
              <w:jc w:val="center"/>
            </w:pPr>
            <w:r>
              <w:rPr>
                <w:rFonts w:ascii="Segoe UI Light" w:hAnsi="Segoe UI Light"/>
                <w:b w:val="0"/>
                <w:sz w:val="18"/>
              </w:rPr>
              <w:t>-1.1 pp</w:t>
            </w:r>
          </w:p>
        </w:tc>
        <w:tc>
          <w:tcPr>
            <w:tcW w:type="dxa" w:w="1676"/>
            <w:vAlign w:val="center"/>
          </w:tcPr>
          <w:p>
            <w:pPr>
              <w:keepNext w:val="0"/>
              <w:spacing w:after="60" w:before="60"/>
              <w:jc w:val="center"/>
            </w:pPr>
            <w:r>
              <w:rPr>
                <w:rFonts w:ascii="Segoe UI Light" w:hAnsi="Segoe UI Light"/>
                <w:b w:val="0"/>
                <w:sz w:val="18"/>
              </w:rPr>
              <w:t>+19.2 pp</w:t>
            </w:r>
          </w:p>
        </w:tc>
        <w:tc>
          <w:tcPr>
            <w:tcW w:type="dxa" w:w="1676"/>
            <w:vAlign w:val="center"/>
          </w:tcPr>
          <w:p>
            <w:pPr>
              <w:keepNext w:val="0"/>
              <w:spacing w:after="60" w:before="60"/>
              <w:jc w:val="center"/>
            </w:pPr>
            <w:r>
              <w:rPr>
                <w:rFonts w:ascii="Segoe UI Light" w:hAnsi="Segoe UI Light"/>
                <w:b w:val="0"/>
                <w:sz w:val="18"/>
              </w:rPr>
              <w:t>+10.9 pp</w:t>
            </w:r>
          </w:p>
        </w:tc>
        <w:tc>
          <w:tcPr>
            <w:tcW w:type="dxa" w:w="1676"/>
            <w:vAlign w:val="center"/>
          </w:tcPr>
          <w:p>
            <w:pPr>
              <w:keepNext w:val="0"/>
              <w:spacing w:after="60" w:before="60"/>
              <w:jc w:val="center"/>
            </w:pPr>
            <w:r>
              <w:rPr>
                <w:rFonts w:ascii="Segoe UI Light" w:hAnsi="Segoe UI Light"/>
                <w:b w:val="0"/>
                <w:sz w:val="18"/>
              </w:rPr>
              <w:t>+29.0 points</w:t>
            </w:r>
          </w:p>
        </w:tc>
      </w:tr>
      <w:tr>
        <w:trPr>
          <w:cantSplit/>
        </w:trPr>
        <w:tc>
          <w:tcPr>
            <w:tcW w:type="dxa" w:w="2934"/>
            <w:shd w:fill="F1F5F9" w:val="clear"/>
            <w:vAlign w:val="center"/>
          </w:tcPr>
          <w:p>
            <w:pPr>
              <w:keepNext w:val="0"/>
              <w:spacing w:after="60" w:before="60"/>
              <w:jc w:val="left"/>
            </w:pPr>
            <w:r>
              <w:rPr>
                <w:rFonts w:ascii="Segoe UI Light" w:hAnsi="Segoe UI Light"/>
                <w:b w:val="0"/>
                <w:sz w:val="18"/>
              </w:rPr>
              <w:t>Work Life Conflict</w:t>
              <w:br/>
              <w:t>Scenario state: L</w:t>
            </w:r>
          </w:p>
        </w:tc>
        <w:tc>
          <w:tcPr>
            <w:tcW w:type="dxa" w:w="1676"/>
            <w:shd w:fill="F1F5F9" w:val="clear"/>
            <w:vAlign w:val="center"/>
          </w:tcPr>
          <w:p>
            <w:pPr>
              <w:keepNext w:val="0"/>
              <w:spacing w:after="60" w:before="60"/>
              <w:jc w:val="center"/>
            </w:pPr>
            <w:r>
              <w:rPr>
                <w:rFonts w:ascii="Segoe UI Light" w:hAnsi="Segoe UI Light"/>
                <w:b w:val="0"/>
                <w:sz w:val="18"/>
              </w:rPr>
              <w:t>+6.5 pp</w:t>
            </w:r>
          </w:p>
        </w:tc>
        <w:tc>
          <w:tcPr>
            <w:tcW w:type="dxa" w:w="1676"/>
            <w:shd w:fill="F1F5F9" w:val="clear"/>
            <w:vAlign w:val="center"/>
          </w:tcPr>
          <w:p>
            <w:pPr>
              <w:keepNext w:val="0"/>
              <w:spacing w:after="60" w:before="60"/>
              <w:jc w:val="center"/>
            </w:pPr>
            <w:r>
              <w:rPr>
                <w:rFonts w:ascii="Segoe UI Light" w:hAnsi="Segoe UI Light"/>
                <w:b w:val="0"/>
                <w:sz w:val="18"/>
              </w:rPr>
              <w:t>+9.2 pp</w:t>
            </w:r>
          </w:p>
        </w:tc>
        <w:tc>
          <w:tcPr>
            <w:tcW w:type="dxa" w:w="1676"/>
            <w:shd w:fill="F1F5F9" w:val="clear"/>
            <w:vAlign w:val="center"/>
          </w:tcPr>
          <w:p>
            <w:pPr>
              <w:keepNext w:val="0"/>
              <w:spacing w:after="60" w:before="60"/>
              <w:jc w:val="center"/>
            </w:pPr>
            <w:r>
              <w:rPr>
                <w:rFonts w:ascii="Segoe UI Light" w:hAnsi="Segoe UI Light"/>
                <w:b w:val="0"/>
                <w:sz w:val="18"/>
              </w:rPr>
              <w:t>+12.1 pp</w:t>
            </w:r>
          </w:p>
        </w:tc>
        <w:tc>
          <w:tcPr>
            <w:tcW w:type="dxa" w:w="1676"/>
            <w:shd w:fill="F1F5F9" w:val="clear"/>
            <w:vAlign w:val="center"/>
          </w:tcPr>
          <w:p>
            <w:pPr>
              <w:keepNext w:val="0"/>
              <w:spacing w:after="60" w:before="60"/>
              <w:jc w:val="center"/>
            </w:pPr>
            <w:r>
              <w:rPr>
                <w:rFonts w:ascii="Segoe UI Light" w:hAnsi="Segoe UI Light"/>
                <w:b w:val="0"/>
                <w:sz w:val="18"/>
              </w:rPr>
              <w:t>+27.8 points</w:t>
            </w:r>
          </w:p>
        </w:tc>
      </w:tr>
      <w:tr>
        <w:trPr>
          <w:cantSplit/>
        </w:trPr>
        <w:tc>
          <w:tcPr>
            <w:tcW w:type="dxa" w:w="2934"/>
            <w:vAlign w:val="center"/>
          </w:tcPr>
          <w:p>
            <w:pPr>
              <w:keepNext w:val="0"/>
              <w:spacing w:after="60" w:before="60"/>
              <w:jc w:val="left"/>
            </w:pPr>
            <w:r>
              <w:rPr>
                <w:rFonts w:ascii="Segoe UI Light" w:hAnsi="Segoe UI Light"/>
                <w:b w:val="0"/>
                <w:sz w:val="18"/>
              </w:rPr>
              <w:t>Recognition</w:t>
              <w:br/>
              <w:t>Scenario state: H</w:t>
            </w:r>
          </w:p>
        </w:tc>
        <w:tc>
          <w:tcPr>
            <w:tcW w:type="dxa" w:w="1676"/>
            <w:vAlign w:val="center"/>
          </w:tcPr>
          <w:p>
            <w:pPr>
              <w:keepNext w:val="0"/>
              <w:spacing w:after="60" w:before="60"/>
              <w:jc w:val="center"/>
            </w:pPr>
            <w:r>
              <w:rPr>
                <w:rFonts w:ascii="Segoe UI Light" w:hAnsi="Segoe UI Light"/>
                <w:b w:val="0"/>
                <w:sz w:val="18"/>
              </w:rPr>
              <w:t>+10.8 pp</w:t>
            </w:r>
          </w:p>
        </w:tc>
        <w:tc>
          <w:tcPr>
            <w:tcW w:type="dxa" w:w="1676"/>
            <w:vAlign w:val="center"/>
          </w:tcPr>
          <w:p>
            <w:pPr>
              <w:keepNext w:val="0"/>
              <w:spacing w:after="60" w:before="60"/>
              <w:jc w:val="center"/>
            </w:pPr>
            <w:r>
              <w:rPr>
                <w:rFonts w:ascii="Segoe UI Light" w:hAnsi="Segoe UI Light"/>
                <w:b w:val="0"/>
                <w:sz w:val="18"/>
              </w:rPr>
              <w:t>+5.5 pp</w:t>
            </w:r>
          </w:p>
        </w:tc>
        <w:tc>
          <w:tcPr>
            <w:tcW w:type="dxa" w:w="1676"/>
            <w:vAlign w:val="center"/>
          </w:tcPr>
          <w:p>
            <w:pPr>
              <w:keepNext w:val="0"/>
              <w:spacing w:after="60" w:before="60"/>
              <w:jc w:val="center"/>
            </w:pPr>
            <w:r>
              <w:rPr>
                <w:rFonts w:ascii="Segoe UI Light" w:hAnsi="Segoe UI Light"/>
                <w:b w:val="0"/>
                <w:sz w:val="18"/>
              </w:rPr>
              <w:t>+3.6 pp</w:t>
            </w:r>
          </w:p>
        </w:tc>
        <w:tc>
          <w:tcPr>
            <w:tcW w:type="dxa" w:w="1676"/>
            <w:vAlign w:val="center"/>
          </w:tcPr>
          <w:p>
            <w:pPr>
              <w:keepNext w:val="0"/>
              <w:spacing w:after="60" w:before="60"/>
              <w:jc w:val="center"/>
            </w:pPr>
            <w:r>
              <w:rPr>
                <w:rFonts w:ascii="Segoe UI Light" w:hAnsi="Segoe UI Light"/>
                <w:b w:val="0"/>
                <w:sz w:val="18"/>
              </w:rPr>
              <w:t>+19.9 points</w:t>
            </w:r>
          </w:p>
        </w:tc>
      </w:tr>
      <w:tr>
        <w:trPr>
          <w:cantSplit/>
        </w:trPr>
        <w:tc>
          <w:tcPr>
            <w:tcW w:type="dxa" w:w="2934"/>
            <w:shd w:fill="F1F5F9" w:val="clear"/>
            <w:vAlign w:val="center"/>
          </w:tcPr>
          <w:p>
            <w:pPr>
              <w:keepNext w:val="0"/>
              <w:spacing w:after="60" w:before="60"/>
              <w:jc w:val="left"/>
            </w:pPr>
            <w:r>
              <w:rPr>
                <w:rFonts w:ascii="Segoe UI Light" w:hAnsi="Segoe UI Light"/>
                <w:b w:val="0"/>
                <w:sz w:val="18"/>
              </w:rPr>
              <w:t>Meaningful Work</w:t>
              <w:br/>
              <w:t>Scenario state: H</w:t>
            </w:r>
          </w:p>
        </w:tc>
        <w:tc>
          <w:tcPr>
            <w:tcW w:type="dxa" w:w="1676"/>
            <w:shd w:fill="F1F5F9" w:val="clear"/>
            <w:vAlign w:val="center"/>
          </w:tcPr>
          <w:p>
            <w:pPr>
              <w:keepNext w:val="0"/>
              <w:spacing w:after="60" w:before="60"/>
              <w:jc w:val="center"/>
            </w:pPr>
            <w:r>
              <w:rPr>
                <w:rFonts w:ascii="Segoe UI Light" w:hAnsi="Segoe UI Light"/>
                <w:b w:val="0"/>
                <w:sz w:val="18"/>
              </w:rPr>
              <w:t>+12.0 pp</w:t>
            </w:r>
          </w:p>
        </w:tc>
        <w:tc>
          <w:tcPr>
            <w:tcW w:type="dxa" w:w="1676"/>
            <w:shd w:fill="F1F5F9" w:val="clear"/>
            <w:vAlign w:val="center"/>
          </w:tcPr>
          <w:p>
            <w:pPr>
              <w:keepNext w:val="0"/>
              <w:spacing w:after="60" w:before="60"/>
              <w:jc w:val="center"/>
            </w:pPr>
            <w:r>
              <w:rPr>
                <w:rFonts w:ascii="Segoe UI Light" w:hAnsi="Segoe UI Light"/>
                <w:b w:val="0"/>
                <w:sz w:val="18"/>
              </w:rPr>
              <w:t>+4.2 pp</w:t>
            </w:r>
          </w:p>
        </w:tc>
        <w:tc>
          <w:tcPr>
            <w:tcW w:type="dxa" w:w="1676"/>
            <w:shd w:fill="F1F5F9" w:val="clear"/>
            <w:vAlign w:val="center"/>
          </w:tcPr>
          <w:p>
            <w:pPr>
              <w:keepNext w:val="0"/>
              <w:spacing w:after="60" w:before="60"/>
              <w:jc w:val="center"/>
            </w:pPr>
            <w:r>
              <w:rPr>
                <w:rFonts w:ascii="Segoe UI Light" w:hAnsi="Segoe UI Light"/>
                <w:b w:val="0"/>
                <w:sz w:val="18"/>
              </w:rPr>
              <w:t>+1.7 pp</w:t>
            </w:r>
          </w:p>
        </w:tc>
        <w:tc>
          <w:tcPr>
            <w:tcW w:type="dxa" w:w="1676"/>
            <w:shd w:fill="F1F5F9" w:val="clear"/>
            <w:vAlign w:val="center"/>
          </w:tcPr>
          <w:p>
            <w:pPr>
              <w:keepNext w:val="0"/>
              <w:spacing w:after="60" w:before="60"/>
              <w:jc w:val="center"/>
            </w:pPr>
            <w:r>
              <w:rPr>
                <w:rFonts w:ascii="Segoe UI Light" w:hAnsi="Segoe UI Light"/>
                <w:b w:val="0"/>
                <w:sz w:val="18"/>
              </w:rPr>
              <w:t>+17.9 points</w:t>
            </w:r>
          </w:p>
        </w:tc>
      </w:tr>
      <w:tr>
        <w:trPr>
          <w:cantSplit/>
        </w:trPr>
        <w:tc>
          <w:tcPr>
            <w:tcW w:type="dxa" w:w="2934"/>
            <w:vAlign w:val="center"/>
          </w:tcPr>
          <w:p>
            <w:pPr>
              <w:keepNext w:val="0"/>
              <w:spacing w:after="60" w:before="60"/>
              <w:jc w:val="left"/>
            </w:pPr>
            <w:r>
              <w:rPr>
                <w:rFonts w:ascii="Segoe UI Light" w:hAnsi="Segoe UI Light"/>
                <w:b w:val="0"/>
                <w:sz w:val="18"/>
              </w:rPr>
              <w:t>Procedural Justice</w:t>
              <w:br/>
              <w:t>Scenario state: H</w:t>
            </w:r>
          </w:p>
        </w:tc>
        <w:tc>
          <w:tcPr>
            <w:tcW w:type="dxa" w:w="1676"/>
            <w:vAlign w:val="center"/>
          </w:tcPr>
          <w:p>
            <w:pPr>
              <w:keepNext w:val="0"/>
              <w:spacing w:after="60" w:before="60"/>
              <w:jc w:val="center"/>
            </w:pPr>
            <w:r>
              <w:rPr>
                <w:rFonts w:ascii="Segoe UI Light" w:hAnsi="Segoe UI Light"/>
                <w:b w:val="0"/>
                <w:sz w:val="18"/>
              </w:rPr>
              <w:t>+5.8 pp</w:t>
            </w:r>
          </w:p>
        </w:tc>
        <w:tc>
          <w:tcPr>
            <w:tcW w:type="dxa" w:w="1676"/>
            <w:vAlign w:val="center"/>
          </w:tcPr>
          <w:p>
            <w:pPr>
              <w:keepNext w:val="0"/>
              <w:spacing w:after="60" w:before="60"/>
              <w:jc w:val="center"/>
            </w:pPr>
            <w:r>
              <w:rPr>
                <w:rFonts w:ascii="Segoe UI Light" w:hAnsi="Segoe UI Light"/>
                <w:b w:val="0"/>
                <w:sz w:val="18"/>
              </w:rPr>
              <w:t>+4.5 pp</w:t>
            </w:r>
          </w:p>
        </w:tc>
        <w:tc>
          <w:tcPr>
            <w:tcW w:type="dxa" w:w="1676"/>
            <w:vAlign w:val="center"/>
          </w:tcPr>
          <w:p>
            <w:pPr>
              <w:keepNext w:val="0"/>
              <w:spacing w:after="60" w:before="60"/>
              <w:jc w:val="center"/>
            </w:pPr>
            <w:r>
              <w:rPr>
                <w:rFonts w:ascii="Segoe UI Light" w:hAnsi="Segoe UI Light"/>
                <w:b w:val="0"/>
                <w:sz w:val="18"/>
              </w:rPr>
              <w:t>+3.4 pp</w:t>
            </w:r>
          </w:p>
        </w:tc>
        <w:tc>
          <w:tcPr>
            <w:tcW w:type="dxa" w:w="1676"/>
            <w:vAlign w:val="center"/>
          </w:tcPr>
          <w:p>
            <w:pPr>
              <w:keepNext w:val="0"/>
              <w:spacing w:after="60" w:before="60"/>
              <w:jc w:val="center"/>
            </w:pPr>
            <w:r>
              <w:rPr>
                <w:rFonts w:ascii="Segoe UI Light" w:hAnsi="Segoe UI Light"/>
                <w:b w:val="0"/>
                <w:sz w:val="18"/>
              </w:rPr>
              <w:t>+13.8 points</w:t>
            </w:r>
          </w:p>
        </w:tc>
      </w:tr>
      <w:tr>
        <w:trPr>
          <w:cantSplit/>
        </w:trPr>
        <w:tc>
          <w:tcPr>
            <w:tcW w:type="dxa" w:w="2934"/>
            <w:shd w:fill="F1F5F9" w:val="clear"/>
            <w:vAlign w:val="center"/>
          </w:tcPr>
          <w:p>
            <w:pPr>
              <w:keepNext w:val="0"/>
              <w:spacing w:after="60" w:before="60"/>
              <w:jc w:val="left"/>
            </w:pPr>
            <w:r>
              <w:rPr>
                <w:rFonts w:ascii="Segoe UI Light" w:hAnsi="Segoe UI Light"/>
                <w:b w:val="0"/>
                <w:sz w:val="18"/>
              </w:rPr>
              <w:t>Emotional Demand</w:t>
              <w:br/>
              <w:t>Scenario state: L</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+7.9 pp</w:t>
            </w:r>
          </w:p>
        </w:tc>
        <w:tc>
          <w:tcPr>
            <w:tcW w:type="dxa" w:w="1676"/>
            <w:shd w:fill="F1F5F9" w:val="clear"/>
            <w:vAlign w:val="center"/>
          </w:tcPr>
          <w:p>
            <w:pPr>
              <w:keepNext w:val="0"/>
              <w:spacing w:after="60" w:before="60"/>
              <w:jc w:val="center"/>
            </w:pPr>
            <w:r>
              <w:rPr>
                <w:rFonts w:ascii="Segoe UI Light" w:hAnsi="Segoe UI Light"/>
                <w:b w:val="0"/>
                <w:sz w:val="18"/>
              </w:rPr>
              <w:t>+3.5 pp</w:t>
            </w:r>
          </w:p>
        </w:tc>
        <w:tc>
          <w:tcPr>
            <w:tcW w:type="dxa" w:w="1676"/>
            <w:shd w:fill="F1F5F9" w:val="clear"/>
            <w:vAlign w:val="center"/>
          </w:tcPr>
          <w:p>
            <w:pPr>
              <w:keepNext w:val="0"/>
              <w:spacing w:after="60" w:before="60"/>
              <w:jc w:val="center"/>
            </w:pPr>
            <w:r>
              <w:rPr>
                <w:rFonts w:ascii="Segoe UI Light" w:hAnsi="Segoe UI Light"/>
                <w:b w:val="0"/>
                <w:sz w:val="18"/>
              </w:rPr>
              <w:t>+11.4 points</w:t>
            </w:r>
          </w:p>
        </w:tc>
      </w:tr>
      <w:tr>
        <w:trPr>
          <w:cantSplit/>
        </w:trPr>
        <w:tc>
          <w:tcPr>
            <w:tcW w:type="dxa" w:w="2934"/>
            <w:vAlign w:val="center"/>
          </w:tcPr>
          <w:p>
            <w:pPr>
              <w:keepNext w:val="0"/>
              <w:spacing w:after="60" w:before="60"/>
              <w:jc w:val="left"/>
            </w:pPr>
            <w:r>
              <w:rPr>
                <w:rFonts w:ascii="Segoe UI Light" w:hAnsi="Segoe UI Light"/>
                <w:b w:val="0"/>
                <w:sz w:val="18"/>
              </w:rPr>
              <w:t>Supervisor Support</w:t>
              <w:br/>
              <w:t>Scenario state: H</w:t>
            </w:r>
          </w:p>
        </w:tc>
        <w:tc>
          <w:tcPr>
            <w:tcW w:type="dxa" w:w="1676"/>
            <w:vAlign w:val="center"/>
          </w:tcPr>
          <w:p>
            <w:pPr>
              <w:keepNext w:val="0"/>
              <w:spacing w:after="60" w:before="60"/>
              <w:jc w:val="center"/>
            </w:pPr>
            <w:r>
              <w:rPr>
                <w:rFonts w:ascii="Segoe UI Light" w:hAnsi="Segoe UI Light"/>
                <w:b w:val="0"/>
                <w:sz w:val="18"/>
              </w:rPr>
              <w:t>+5.5 pp</w:t>
            </w:r>
          </w:p>
        </w:tc>
        <w:tc>
          <w:tcPr>
            <w:tcW w:type="dxa" w:w="1676"/>
            <w:vAlign w:val="center"/>
          </w:tcPr>
          <w:p>
            <w:pPr>
              <w:keepNext w:val="0"/>
              <w:spacing w:after="60" w:before="60"/>
              <w:jc w:val="center"/>
            </w:pPr>
            <w:r>
              <w:rPr>
                <w:rFonts w:ascii="Segoe UI Light" w:hAnsi="Segoe UI Light"/>
                <w:b w:val="0"/>
                <w:sz w:val="18"/>
              </w:rPr>
              <w:t>+2.6 pp</w:t>
            </w:r>
          </w:p>
        </w:tc>
        <w:tc>
          <w:tcPr>
            <w:tcW w:type="dxa" w:w="1676"/>
            <w:vAlign w:val="center"/>
          </w:tcPr>
          <w:p>
            <w:pPr>
              <w:keepNext w:val="0"/>
              <w:spacing w:after="60" w:before="60"/>
              <w:jc w:val="center"/>
            </w:pPr>
            <w:r>
              <w:rPr>
                <w:rFonts w:ascii="Segoe UI Light" w:hAnsi="Segoe UI Light"/>
                <w:b w:val="0"/>
                <w:sz w:val="18"/>
              </w:rPr>
              <w:t>+2.0 pp</w:t>
            </w:r>
          </w:p>
        </w:tc>
        <w:tc>
          <w:tcPr>
            <w:tcW w:type="dxa" w:w="1676"/>
            <w:vAlign w:val="center"/>
          </w:tcPr>
          <w:p>
            <w:pPr>
              <w:keepNext w:val="0"/>
              <w:spacing w:after="60" w:before="60"/>
              <w:jc w:val="center"/>
            </w:pPr>
            <w:r>
              <w:rPr>
                <w:rFonts w:ascii="Segoe UI Light" w:hAnsi="Segoe UI Light"/>
                <w:b w:val="0"/>
                <w:sz w:val="18"/>
              </w:rPr>
              <w:t>+10.1 points</w:t>
            </w:r>
          </w:p>
        </w:tc>
      </w:tr>
      <w:tr>
        <w:trPr>
          <w:cantSplit/>
        </w:trPr>
        <w:tc>
          <w:tcPr>
            <w:tcW w:type="dxa" w:w="2934"/>
            <w:shd w:fill="F1F5F9" w:val="clear"/>
            <w:vAlign w:val="center"/>
          </w:tcPr>
          <w:p>
            <w:pPr>
              <w:keepNext w:val="0"/>
              <w:spacing w:after="60" w:before="60"/>
              <w:jc w:val="left"/>
            </w:pPr>
            <w:r>
              <w:rPr>
                <w:rFonts w:ascii="Segoe UI Light" w:hAnsi="Segoe UI Light"/>
                <w:b w:val="0"/>
                <w:sz w:val="18"/>
              </w:rPr>
              <w:t>Psychological Safety</w:t>
              <w:br/>
              <w:t>Scenario state: H</w:t>
            </w:r>
          </w:p>
        </w:tc>
        <w:tc>
          <w:tcPr>
            <w:tcW w:type="dxa" w:w="1676"/>
            <w:shd w:fill="F1F5F9" w:val="clear"/>
            <w:vAlign w:val="center"/>
          </w:tcPr>
          <w:p>
            <w:pPr>
              <w:keepNext w:val="0"/>
              <w:spacing w:after="60" w:before="60"/>
              <w:jc w:val="center"/>
            </w:pPr>
            <w:r>
              <w:rPr>
                <w:rFonts w:ascii="Segoe UI Light" w:hAnsi="Segoe UI Light"/>
                <w:b w:val="0"/>
                <w:sz w:val="18"/>
              </w:rPr>
              <w:t>+3.2 pp</w:t>
            </w:r>
          </w:p>
        </w:tc>
        <w:tc>
          <w:tcPr>
            <w:tcW w:type="dxa" w:w="1676"/>
            <w:shd w:fill="F1F5F9" w:val="clear"/>
            <w:vAlign w:val="center"/>
          </w:tcPr>
          <w:p>
            <w:pPr>
              <w:keepNext w:val="0"/>
              <w:spacing w:after="60" w:before="60"/>
              <w:jc w:val="center"/>
            </w:pPr>
            <w:r>
              <w:rPr>
                <w:rFonts w:ascii="Segoe UI Light" w:hAnsi="Segoe UI Light"/>
                <w:b w:val="0"/>
                <w:sz w:val="18"/>
              </w:rPr>
              <w:t>+1.9 pp</w:t>
            </w:r>
          </w:p>
        </w:tc>
        <w:tc>
          <w:tcPr>
            <w:tcW w:type="dxa" w:w="1676"/>
            <w:shd w:fill="F1F5F9" w:val="clear"/>
            <w:vAlign w:val="center"/>
          </w:tcPr>
          <w:p>
            <w:pPr>
              <w:keepNext w:val="0"/>
              <w:spacing w:after="60" w:before="60"/>
              <w:jc w:val="center"/>
            </w:pPr>
            <w:r>
              <w:rPr>
                <w:rFonts w:ascii="Segoe UI Light" w:hAnsi="Segoe UI Light"/>
                <w:b w:val="0"/>
                <w:sz w:val="18"/>
              </w:rPr>
              <w:t>+1.7 pp</w:t>
            </w:r>
          </w:p>
        </w:tc>
        <w:tc>
          <w:tcPr>
            <w:tcW w:type="dxa" w:w="1676"/>
            <w:shd w:fill="F1F5F9" w:val="clear"/>
            <w:vAlign w:val="center"/>
          </w:tcPr>
          <w:p>
            <w:pPr>
              <w:keepNext w:val="0"/>
              <w:spacing w:after="60" w:before="60"/>
              <w:jc w:val="center"/>
            </w:pPr>
            <w:r>
              <w:rPr>
                <w:rFonts w:ascii="Segoe UI Light" w:hAnsi="Segoe UI Light"/>
                <w:b w:val="0"/>
                <w:sz w:val="18"/>
              </w:rPr>
              <w:t>+6.8 points</w:t>
            </w:r>
          </w:p>
        </w:tc>
      </w:tr>
      <w:tr>
        <w:trPr>
          <w:cantSplit/>
        </w:trPr>
        <w:tc>
          <w:tcPr>
            <w:tcW w:type="dxa" w:w="2934"/>
            <w:vAlign w:val="center"/>
          </w:tcPr>
          <w:p>
            <w:pPr>
              <w:keepNext w:val="0"/>
              <w:spacing w:after="60" w:before="60"/>
              <w:jc w:val="left"/>
            </w:pPr>
            <w:r>
              <w:rPr>
                <w:rFonts w:ascii="Segoe UI Light" w:hAnsi="Segoe UI Light"/>
                <w:b w:val="0"/>
                <w:sz w:val="18"/>
              </w:rPr>
              <w:t>Change Consultation</w:t>
              <w:br/>
              <w:t>Scenario state: H</w:t>
            </w:r>
          </w:p>
        </w:tc>
        <w:tc>
          <w:tcPr>
            <w:tcW w:type="dxa" w:w="1676"/>
            <w:vAlign w:val="center"/>
          </w:tcPr>
          <w:p>
            <w:pPr>
              <w:keepNext w:val="0"/>
              <w:spacing w:after="60" w:before="60"/>
              <w:jc w:val="center"/>
            </w:pPr>
            <w:r>
              <w:rPr>
                <w:rFonts w:ascii="Segoe UI Light" w:hAnsi="Segoe UI Light"/>
                <w:b w:val="0"/>
                <w:sz w:val="18"/>
              </w:rPr>
              <w:t>+3.1 pp</w:t>
            </w:r>
          </w:p>
        </w:tc>
        <w:tc>
          <w:tcPr>
            <w:tcW w:type="dxa" w:w="1676"/>
            <w:vAlign w:val="center"/>
          </w:tcPr>
          <w:p>
            <w:pPr>
              <w:keepNext w:val="0"/>
              <w:spacing w:after="60" w:before="60"/>
              <w:jc w:val="center"/>
            </w:pPr>
            <w:r>
              <w:rPr>
                <w:rFonts w:ascii="Segoe UI Light" w:hAnsi="Segoe UI Light"/>
                <w:b w:val="0"/>
                <w:sz w:val="18"/>
              </w:rPr>
              <w:t>+1.5 pp</w:t>
            </w:r>
          </w:p>
        </w:tc>
        <w:tc>
          <w:tcPr>
            <w:tcW w:type="dxa" w:w="1676"/>
            <w:vAlign w:val="center"/>
          </w:tcPr>
          <w:p>
            <w:pPr>
              <w:keepNext w:val="0"/>
              <w:spacing w:after="60" w:before="60"/>
              <w:jc w:val="center"/>
            </w:pPr>
            <w:r>
              <w:rPr>
                <w:rFonts w:ascii="Segoe UI Light" w:hAnsi="Segoe UI Light"/>
                <w:b w:val="0"/>
                <w:sz w:val="18"/>
              </w:rPr>
              <w:t>+2.2 pp</w:t>
            </w:r>
          </w:p>
        </w:tc>
        <w:tc>
          <w:tcPr>
            <w:tcW w:type="dxa" w:w="1676"/>
            <w:vAlign w:val="center"/>
          </w:tcPr>
          <w:p>
            <w:pPr>
              <w:keepNext w:val="0"/>
              <w:spacing w:after="60" w:before="60"/>
              <w:jc w:val="center"/>
            </w:pPr>
            <w:r>
              <w:rPr>
                <w:rFonts w:ascii="Segoe UI Light" w:hAnsi="Segoe UI Light"/>
                <w:b w:val="0"/>
                <w:sz w:val="18"/>
              </w:rPr>
              <w:t>+6.7 points</w:t>
            </w:r>
          </w:p>
        </w:tc>
      </w:tr>
      <w:tr>
        <w:trPr>
          <w:cantSplit/>
        </w:trPr>
        <w:tc>
          <w:tcPr>
            <w:tcW w:type="dxa" w:w="2934"/>
            <w:shd w:fill="F1F5F9" w:val="clear"/>
            <w:vAlign w:val="center"/>
          </w:tcPr>
          <w:p>
            <w:pPr>
              <w:keepNext w:val="0"/>
              <w:spacing w:after="60" w:before="60"/>
              <w:jc w:val="left"/>
            </w:pPr>
            <w:r>
              <w:rPr>
                <w:rFonts w:ascii="Segoe UI Light" w:hAnsi="Segoe UI Light"/>
                <w:b w:val="0"/>
                <w:sz w:val="18"/>
              </w:rPr>
              <w:t>Development Growth</w:t>
              <w:br/>
              <w:t>Scenario state: H</w:t>
            </w:r>
          </w:p>
        </w:tc>
        <w:tc>
          <w:tcPr>
            <w:tcW w:type="dxa" w:w="1676"/>
            <w:shd w:fill="F1F5F9" w:val="clear"/>
            <w:vAlign w:val="center"/>
          </w:tcPr>
          <w:p>
            <w:pPr>
              <w:keepNext w:val="0"/>
              <w:spacing w:after="60" w:before="60"/>
              <w:jc w:val="center"/>
            </w:pPr>
            <w:r>
              <w:rPr>
                <w:rFonts w:ascii="Segoe UI Light" w:hAnsi="Segoe UI Light"/>
                <w:b w:val="0"/>
                <w:sz w:val="18"/>
              </w:rPr>
              <w:t>+3.8 pp</w:t>
            </w:r>
          </w:p>
        </w:tc>
        <w:tc>
          <w:tcPr>
            <w:tcW w:type="dxa" w:w="1676"/>
            <w:shd w:fill="F1F5F9" w:val="clear"/>
            <w:vAlign w:val="center"/>
          </w:tcPr>
          <w:p>
            <w:pPr>
              <w:keepNext w:val="0"/>
              <w:spacing w:after="60" w:before="60"/>
              <w:jc w:val="center"/>
            </w:pPr>
            <w:r>
              <w:rPr>
                <w:rFonts w:ascii="Segoe UI Light" w:hAnsi="Segoe UI Light"/>
                <w:b w:val="0"/>
                <w:sz w:val="18"/>
              </w:rPr>
              <w:t>+0.5 pp</w:t>
            </w:r>
          </w:p>
        </w:tc>
        <w:tc>
          <w:tcPr>
            <w:tcW w:type="dxa" w:w="1676"/>
            <w:shd w:fill="F1F5F9" w:val="clear"/>
            <w:vAlign w:val="center"/>
          </w:tcPr>
          <w:p>
            <w:pPr>
              <w:keepNext w:val="0"/>
              <w:spacing w:after="60" w:before="60"/>
              <w:jc w:val="center"/>
            </w:pPr>
            <w:r>
              <w:rPr>
                <w:rFonts w:ascii="Segoe UI Light" w:hAnsi="Segoe UI Light"/>
                <w:b w:val="0"/>
                <w:sz w:val="18"/>
              </w:rPr>
              <w:t>+1.0 pp</w:t>
            </w:r>
          </w:p>
        </w:tc>
        <w:tc>
          <w:tcPr>
            <w:tcW w:type="dxa" w:w="1676"/>
            <w:shd w:fill="F1F5F9" w:val="clear"/>
            <w:vAlign w:val="center"/>
          </w:tcPr>
          <w:p>
            <w:pPr>
              <w:keepNext w:val="0"/>
              <w:spacing w:after="60" w:before="60"/>
              <w:jc w:val="center"/>
            </w:pPr>
            <w:r>
              <w:rPr>
                <w:rFonts w:ascii="Segoe UI Light" w:hAnsi="Segoe UI Light"/>
                <w:b w:val="0"/>
                <w:sz w:val="18"/>
              </w:rPr>
              <w:t>+5.4 points</w:t>
            </w:r>
          </w:p>
        </w:tc>
      </w:tr>
      <w:tr>
        <w:trPr>
          <w:cantSplit/>
        </w:trPr>
        <w:tc>
          <w:tcPr>
            <w:tcW w:type="dxa" w:w="2934"/>
            <w:vAlign w:val="center"/>
          </w:tcPr>
          <w:p>
            <w:pPr>
              <w:keepNext w:val="0"/>
              <w:spacing w:after="60" w:before="60"/>
              <w:jc w:val="left"/>
            </w:pPr>
            <w:r>
              <w:rPr>
                <w:rFonts w:ascii="Segoe UI Light" w:hAnsi="Segoe UI Light"/>
                <w:b w:val="0"/>
                <w:sz w:val="18"/>
              </w:rPr>
              <w:t>Job Insecurity</w:t>
              <w:br/>
              <w:t>Scenario state: L</w:t>
            </w:r>
          </w:p>
        </w:tc>
        <w:tc>
          <w:tcPr>
            <w:tcW w:type="dxa" w:w="1676"/>
            <w:vAlign w:val="center"/>
          </w:tcPr>
          <w:p>
            <w:pPr>
              <w:keepNext w:val="0"/>
              <w:spacing w:after="60" w:before="60"/>
              <w:jc w:val="center"/>
            </w:pPr>
            <w:r>
              <w:rPr>
                <w:rFonts w:ascii="Segoe UI Light" w:hAnsi="Segoe UI Light"/>
                <w:b w:val="0"/>
                <w:sz w:val="18"/>
              </w:rPr>
              <w:t>+0.0 pp</w:t>
            </w:r>
          </w:p>
        </w:tc>
        <w:tc>
          <w:tcPr>
            <w:tcW w:type="dxa" w:w="1676"/>
            <w:vAlign w:val="center"/>
          </w:tcPr>
          <w:p>
            <w:pPr>
              <w:keepNext w:val="0"/>
              <w:spacing w:after="60" w:before="60"/>
              <w:jc w:val="center"/>
            </w:pPr>
            <w:r>
              <w:rPr>
                <w:rFonts w:ascii="Segoe UI Light" w:hAnsi="Segoe UI Light"/>
                <w:b w:val="0"/>
                <w:sz w:val="18"/>
              </w:rPr>
              <w:t>+0.0 pp</w:t>
            </w:r>
          </w:p>
        </w:tc>
        <w:tc>
          <w:tcPr>
            <w:tcW w:type="dxa" w:w="1676"/>
            <w:vAlign w:val="center"/>
          </w:tcPr>
          <w:p>
            <w:pPr>
              <w:keepNext w:val="0"/>
              <w:spacing w:after="60" w:before="60"/>
              <w:jc w:val="center"/>
            </w:pPr>
            <w:r>
              <w:rPr>
                <w:rFonts w:ascii="Segoe UI Light" w:hAnsi="Segoe UI Light"/>
                <w:b w:val="0"/>
                <w:sz w:val="18"/>
              </w:rPr>
              <w:t>+4.3 pp</w:t>
            </w:r>
          </w:p>
        </w:tc>
        <w:tc>
          <w:tcPr>
            <w:tcW w:type="dxa" w:w="1676"/>
            <w:vAlign w:val="center"/>
          </w:tcPr>
          <w:p>
            <w:pPr>
              <w:keepNext w:val="0"/>
              <w:spacing w:after="60" w:before="60"/>
              <w:jc w:val="center"/>
            </w:pPr>
            <w:r>
              <w:rPr>
                <w:rFonts w:ascii="Segoe UI Light" w:hAnsi="Segoe UI Light"/>
                <w:b w:val="0"/>
                <w:sz w:val="18"/>
              </w:rPr>
              <w:t>+4.3 points</w:t>
            </w:r>
          </w:p>
        </w:tc>
      </w:tr>
      <w:tr>
        <w:trPr>
          <w:cantSplit/>
        </w:trPr>
        <w:tc>
          <w:tcPr>
            <w:tcW w:type="dxa" w:w="2934"/>
            <w:shd w:fill="F1F5F9" w:val="clear"/>
            <w:vAlign w:val="center"/>
          </w:tcPr>
          <w:p>
            <w:pPr>
              <w:keepNext w:val="0"/>
              <w:spacing w:after="60" w:before="60"/>
              <w:jc w:val="left"/>
            </w:pPr>
            <w:r>
              <w:rPr>
                <w:rFonts w:ascii="Segoe UI Light" w:hAnsi="Segoe UI Light"/>
                <w:b w:val="0"/>
                <w:sz w:val="18"/>
              </w:rPr>
              <w:t>Coworker Support</w:t>
              <w:br/>
              <w:t>Scenario state: H</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+0.0 points</w:t>
            </w:r>
          </w:p>
        </w:tc>
      </w:tr>
      <w:tr>
        <w:trPr>
          <w:cantSplit/>
        </w:trPr>
        <w:tc>
          <w:tcPr>
            <w:tcW w:type="dxa" w:w="2934"/>
            <w:vAlign w:val="center"/>
          </w:tcPr>
          <w:p>
            <w:pPr>
              <w:keepNext w:val="0"/>
              <w:spacing w:after="60" w:before="60"/>
              <w:jc w:val="left"/>
            </w:pPr>
            <w:r>
              <w:rPr>
                <w:rFonts w:ascii="Segoe UI Light" w:hAnsi="Segoe UI Light"/>
                <w:b w:val="0"/>
                <w:sz w:val="18"/>
              </w:rPr>
              <w:t>Job Control</w:t>
              <w:br/>
              <w:t>Scenario state: H</w:t>
            </w:r>
          </w:p>
        </w:tc>
        <w:tc>
          <w:tcPr>
            <w:tcW w:type="dxa" w:w="1676"/>
            <w:vAlign w:val="center"/>
          </w:tcPr>
          <w:p>
            <w:pPr>
              <w:keepNext w:val="0"/>
              <w:spacing w:after="60" w:before="60"/>
              <w:jc w:val="center"/>
            </w:pPr>
            <w:r>
              <w:rPr>
                <w:rFonts w:ascii="Segoe UI Light" w:hAnsi="Segoe UI Light"/>
                <w:b w:val="0"/>
                <w:sz w:val="18"/>
              </w:rPr>
              <w:t>+0.0 pp</w:t>
            </w:r>
          </w:p>
        </w:tc>
        <w:tc>
          <w:tcPr>
            <w:tcW w:type="dxa" w:w="1676"/>
            <w:vAlign w:val="center"/>
          </w:tcPr>
          <w:p>
            <w:pPr>
              <w:keepNext w:val="0"/>
              <w:spacing w:after="60" w:before="60"/>
              <w:jc w:val="center"/>
            </w:pPr>
            <w:r>
              <w:rPr>
                <w:rFonts w:ascii="Segoe UI Light" w:hAnsi="Segoe UI Light"/>
                <w:b w:val="0"/>
                <w:sz w:val="18"/>
              </w:rPr>
              <w:t>+0.0 pp</w:t>
            </w:r>
          </w:p>
        </w:tc>
        <w:tc>
          <w:tcPr>
            <w:tcW w:type="dxa" w:w="1676"/>
            <w:vAlign w:val="center"/>
          </w:tcPr>
          <w:p>
            <w:pPr>
              <w:keepNext w:val="0"/>
              <w:spacing w:after="60" w:before="60"/>
              <w:jc w:val="center"/>
            </w:pPr>
            <w:r>
              <w:rPr>
                <w:rFonts w:ascii="Segoe UI Light" w:hAnsi="Segoe UI Light"/>
                <w:b w:val="0"/>
                <w:sz w:val="18"/>
              </w:rPr>
              <w:t>+0.0 pp</w:t>
            </w:r>
          </w:p>
        </w:tc>
        <w:tc>
          <w:tcPr>
            <w:tcW w:type="dxa" w:w="1676"/>
            <w:vAlign w:val="center"/>
          </w:tcPr>
          <w:p>
            <w:pPr>
              <w:keepNext w:val="0"/>
              <w:spacing w:after="60" w:before="60"/>
              <w:jc w:val="center"/>
            </w:pPr>
            <w:r>
              <w:rPr>
                <w:rFonts w:ascii="Segoe UI Light" w:hAnsi="Segoe UI Light"/>
                <w:b w:val="0"/>
                <w:sz w:val="18"/>
              </w:rPr>
              <w:t>+0.0 points</w:t>
            </w:r>
          </w:p>
        </w:tc>
      </w:tr>
      <w:tr>
        <w:trPr>
          <w:cantSplit/>
        </w:trPr>
        <w:tc>
          <w:tcPr>
            <w:tcW w:type="dxa" w:w="2934"/>
            <w:shd w:fill="F1F5F9" w:val="clear"/>
            <w:vAlign w:val="center"/>
          </w:tcPr>
          <w:p>
            <w:pPr>
              <w:keepNext w:val="0"/>
              <w:spacing w:after="60" w:before="60"/>
              <w:jc w:val="left"/>
            </w:pPr>
            <w:r>
              <w:rPr>
                <w:rFonts w:ascii="Segoe UI Light" w:hAnsi="Segoe UI Light"/>
                <w:b w:val="0"/>
                <w:sz w:val="18"/>
              </w:rPr>
              <w:t>Role Ambiguity</w:t>
              <w:br/>
              <w:t>Scenario state: L</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+0.0 points</w:t>
            </w:r>
          </w:p>
        </w:tc>
      </w:tr>
      <w:tr>
        <w:trPr>
          <w:cantSplit/>
        </w:trPr>
        <w:tc>
          <w:tcPr>
            <w:tcW w:type="dxa" w:w="2934"/>
            <w:vAlign w:val="center"/>
          </w:tcPr>
          <w:p>
            <w:pPr>
              <w:keepNext w:val="0"/>
              <w:spacing w:after="60" w:before="60"/>
              <w:jc w:val="left"/>
            </w:pPr>
            <w:r>
              <w:rPr>
                <w:rFonts w:ascii="Segoe UI Light" w:hAnsi="Segoe UI Light"/>
                <w:b w:val="0"/>
                <w:sz w:val="18"/>
              </w:rPr>
              <w:t>Role Conflict</w:t>
              <w:br/>
              <w:t>Scenario state: L</w:t>
            </w:r>
          </w:p>
        </w:tc>
        <w:tc>
          <w:tcPr>
            <w:tcW w:type="dxa" w:w="1676"/>
            <w:vAlign w:val="center"/>
          </w:tcPr>
          <w:p>
            <w:pPr>
              <w:keepNext w:val="0"/>
              <w:spacing w:after="60" w:before="60"/>
              <w:jc w:val="center"/>
            </w:pPr>
            <w:r>
              <w:rPr>
                <w:rFonts w:ascii="Segoe UI Light" w:hAnsi="Segoe UI Light"/>
                <w:b w:val="0"/>
                <w:sz w:val="18"/>
              </w:rPr>
              <w:t>+0.0 pp</w:t>
            </w:r>
          </w:p>
        </w:tc>
        <w:tc>
          <w:tcPr>
            <w:tcW w:type="dxa" w:w="1676"/>
            <w:vAlign w:val="center"/>
          </w:tcPr>
          <w:p>
            <w:pPr>
              <w:keepNext w:val="0"/>
              <w:spacing w:after="60" w:before="60"/>
              <w:jc w:val="center"/>
            </w:pPr>
            <w:r>
              <w:rPr>
                <w:rFonts w:ascii="Segoe UI Light" w:hAnsi="Segoe UI Light"/>
                <w:b w:val="0"/>
                <w:sz w:val="18"/>
              </w:rPr>
              <w:t>+0.0 pp</w:t>
            </w:r>
          </w:p>
        </w:tc>
        <w:tc>
          <w:tcPr>
            <w:tcW w:type="dxa" w:w="1676"/>
            <w:vAlign w:val="center"/>
          </w:tcPr>
          <w:p>
            <w:pPr>
              <w:keepNext w:val="0"/>
              <w:spacing w:after="60" w:before="60"/>
              <w:jc w:val="center"/>
            </w:pPr>
            <w:r>
              <w:rPr>
                <w:rFonts w:ascii="Segoe UI Light" w:hAnsi="Segoe UI Light"/>
                <w:b w:val="0"/>
                <w:sz w:val="18"/>
              </w:rPr>
              <w:t>+0.0 pp</w:t>
            </w:r>
          </w:p>
        </w:tc>
        <w:tc>
          <w:tcPr>
            <w:tcW w:type="dxa" w:w="1676"/>
            <w:vAlign w:val="center"/>
          </w:tcPr>
          <w:p>
            <w:pPr>
              <w:keepNext w:val="0"/>
              <w:spacing w:after="60" w:before="60"/>
              <w:jc w:val="center"/>
            </w:pPr>
            <w:r>
              <w:rPr>
                <w:rFonts w:ascii="Segoe UI Light" w:hAnsi="Segoe UI Light"/>
                <w:b w:val="0"/>
                <w:sz w:val="18"/>
              </w:rPr>
              <w:t>+0.0 points</w:t>
            </w:r>
          </w:p>
        </w:tc>
      </w:tr>
      <w:tr>
        <w:trPr>
          <w:cantSplit/>
        </w:trPr>
        <w:tc>
          <w:tcPr>
            <w:tcW w:type="dxa" w:w="2934"/>
            <w:shd w:fill="F1F5F9" w:val="clear"/>
            <w:vAlign w:val="center"/>
          </w:tcPr>
          <w:p>
            <w:pPr>
              <w:keepNext w:val="0"/>
              <w:spacing w:after="60" w:before="60"/>
              <w:jc w:val="left"/>
            </w:pPr>
            <w:r>
              <w:rPr>
                <w:rFonts w:ascii="Segoe UI Light" w:hAnsi="Segoe UI Light"/>
                <w:b w:val="0"/>
                <w:sz w:val="18"/>
              </w:rPr>
              <w:t>Workplace Relationships</w:t>
              <w:br/>
              <w:t>Scenario state: H</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+0.0 points</w:t>
            </w:r>
          </w:p>
        </w:tc>
      </w:tr>
      <w:tr>
        <w:trPr>
          <w:cantSplit/>
        </w:trPr>
        <w:tc>
          <w:tcPr>
            <w:tcW w:type="dxa" w:w="2934"/>
            <w:vAlign w:val="center"/>
          </w:tcPr>
          <w:p>
            <w:pPr>
              <w:keepNext w:val="0"/>
              <w:spacing w:after="60" w:before="60"/>
              <w:jc w:val="left"/>
            </w:pPr>
            <w:r>
              <w:rPr>
                <w:rFonts w:ascii="Segoe UI Light" w:hAnsi="Segoe UI Light"/>
                <w:b w:val="0"/>
                <w:sz w:val="18"/>
              </w:rPr>
              <w:t>Cognitive Demand</w:t>
              <w:br/>
              <w:t>Scenario state: L</w:t>
            </w:r>
          </w:p>
        </w:tc>
        <w:tc>
          <w:tcPr>
            <w:tcW w:type="dxa" w:w="1676"/>
            <w:vAlign w:val="center"/>
          </w:tcPr>
          <w:p>
            <w:pPr>
              <w:keepNext w:val="0"/>
              <w:spacing w:after="60" w:before="60"/>
              <w:jc w:val="center"/>
            </w:pPr>
            <w:r>
              <w:rPr>
                <w:rFonts w:ascii="Segoe UI Light" w:hAnsi="Segoe UI Light"/>
                <w:b w:val="0"/>
                <w:sz w:val="18"/>
              </w:rPr>
              <w:t>-18.4 pp</w:t>
            </w:r>
          </w:p>
        </w:tc>
        <w:tc>
          <w:tcPr>
            <w:tcW w:type="dxa" w:w="1676"/>
            <w:vAlign w:val="center"/>
          </w:tcPr>
          <w:p>
            <w:pPr>
              <w:keepNext w:val="0"/>
              <w:spacing w:after="60" w:before="60"/>
              <w:jc w:val="center"/>
            </w:pPr>
            <w:r>
              <w:rPr>
                <w:rFonts w:ascii="Segoe UI Light" w:hAnsi="Segoe UI Light"/>
                <w:b w:val="0"/>
                <w:sz w:val="18"/>
              </w:rPr>
              <w:t>-4.3 pp</w:t>
            </w:r>
          </w:p>
        </w:tc>
        <w:tc>
          <w:tcPr>
            <w:tcW w:type="dxa" w:w="1676"/>
            <w:vAlign w:val="center"/>
          </w:tcPr>
          <w:p>
            <w:pPr>
              <w:keepNext w:val="0"/>
              <w:spacing w:after="60" w:before="60"/>
              <w:jc w:val="center"/>
            </w:pPr>
            <w:r>
              <w:rPr>
                <w:rFonts w:ascii="Segoe UI Light" w:hAnsi="Segoe UI Light"/>
                <w:b w:val="0"/>
                <w:sz w:val="18"/>
              </w:rPr>
              <w:t>-1.5 pp</w:t>
            </w:r>
          </w:p>
        </w:tc>
        <w:tc>
          <w:tcPr>
            <w:tcW w:type="dxa" w:w="1676"/>
            <w:vAlign w:val="center"/>
          </w:tcPr>
          <w:p>
            <w:pPr>
              <w:keepNext w:val="0"/>
              <w:spacing w:after="60" w:before="60"/>
              <w:jc w:val="center"/>
            </w:pPr>
            <w:r>
              <w:rPr>
                <w:rFonts w:ascii="Segoe UI Light" w:hAnsi="Segoe UI Light"/>
                <w:b w:val="0"/>
                <w:sz w:val="18"/>
              </w:rPr>
              <w:t>-24.3 points</w:t>
            </w:r>
          </w:p>
        </w:tc>
      </w:tr>
    </w:tbl>
    <w:p>
      <w:bookmarkStart w:id="22" w:name="_PWToc22"/>
      <w:pPr>
        <w:pStyle w:val="Heading2"/>
        <w:pageBreakBefore/>
      </w:pPr>
      <w:r>
        <w:rPr>
          <w:rFonts w:ascii="Segoe UI Light" w:hAnsi="Segoe UI Light"/>
          <w:b/>
          <w:color w:val="2D5A8E"/>
          <w:sz w:val="22"/>
        </w:rPr>
        <w:t>A4 – Combined Scenarios: Factors Moved Together</w:t>
      </w:r>
      <w:bookmarkEnd w:id="22"/>
    </w:p>
    <w:p>
      <w:pPr>
        <w:spacing w:after="160"/>
      </w:pPr>
      <w:r>
        <w:rPr>
          <w:rFonts w:ascii="Segoe UI Light" w:hAnsi="Segoe UI Light"/>
          <w:color w:val="64748B"/>
          <w:sz w:val="20"/>
        </w:rPr>
        <w:t>These scenarios compare several changes together with the starting model. Their joint effect may be larger or smaller than the sum of separate comparisons. The calculation alone does not establish why, how quickly benefits would appear, or whether an action is feasible. Read each outcome separately.</w:t>
      </w:r>
    </w:p>
    <w:p>
      <w:pPr>
        <w:pStyle w:val="Heading3"/>
      </w:pPr>
      <w:r>
        <w:rPr>
          <w:rFonts w:ascii="Segoe UI Light" w:hAnsi="Segoe UI Light"/>
          <w:b/>
          <w:color w:val="2D5A8E"/>
          <w:sz w:val="21"/>
        </w:rPr>
        <w:t>Top combined scenarios: Work Engagement</w:t>
      </w:r>
    </w:p>
    <w:p>
      <w:pPr>
        <w:spacing w:after="160"/>
      </w:pPr>
      <w:r>
        <w:rPr>
          <w:rFonts w:ascii="Segoe UI Light" w:hAnsi="Segoe UI Light"/>
          <w:color w:val="64748B"/>
          <w:sz w:val="20"/>
        </w:rPr>
        <w:t>H (favourable). Up to five supplied combinations, ranked by this outcome's change rather than the summed score. This is not an exhaustive search of all possible changes.</w:t>
      </w:r>
    </w:p>
    <w:tbl>
      <w:tblPr>
        <w:tblStyle w:val="TableGrid"/>
        <w:tblLayout w:type="fixed"/>
        <w:tblLook w:firstColumn="1" w:firstRow="1" w:lastColumn="0" w:lastRow="0" w:noHBand="0" w:noVBand="1" w:val="04A0"/>
        <w:tblW w:w="5000" w:type="pct"/>
      </w:tblPr>
      <w:tblGrid>
        <w:gridCol w:w="4535"/>
        <w:gridCol w:w="1700"/>
        <w:gridCol w:w="1700"/>
        <w:gridCol w:w="1700"/>
      </w:tblGrid>
      <w:tr>
        <w:trPr>
          <w:tblHeader/>
          <w:cantSplit/>
        </w:trPr>
        <w:tc>
          <w:tcPr>
            <w:tcW w:type="dxa" w:w="4535"/>
            <w:shd w:fill="1E3A5F" w:val="clear"/>
            <w:vAlign w:val="center"/>
          </w:tcPr>
          <w:p>
            <w:pPr>
              <w:keepNext/>
              <w:spacing w:after="60" w:before="60"/>
              <w:jc w:val="left"/>
            </w:pPr>
            <w:r>
              <w:rPr>
                <w:rFonts w:ascii="Segoe UI Light" w:hAnsi="Segoe UI Light"/>
                <w:b/>
                <w:color w:val="FFFFFF"/>
                <w:sz w:val="18"/>
              </w:rPr>
              <w:t>Factors compared together</w:t>
            </w:r>
          </w:p>
        </w:tc>
        <w:tc>
          <w:tcPr>
            <w:tcW w:type="dxa" w:w="1700"/>
            <w:shd w:fill="1E3A5F" w:val="clear"/>
            <w:vAlign w:val="center"/>
          </w:tcPr>
          <w:p>
            <w:pPr>
              <w:keepNext/>
              <w:spacing w:after="60" w:before="60"/>
              <w:jc w:val="left"/>
            </w:pPr>
            <w:r>
              <w:rPr>
                <w:rFonts w:ascii="Segoe UI Light" w:hAnsi="Segoe UI Light"/>
                <w:b/>
                <w:color w:val="FFFFFF"/>
                <w:sz w:val="18"/>
              </w:rPr>
              <w:t>Starting share</w:t>
            </w:r>
          </w:p>
        </w:tc>
        <w:tc>
          <w:tcPr>
            <w:tcW w:type="dxa" w:w="1700"/>
            <w:shd w:fill="1E3A5F" w:val="clear"/>
            <w:vAlign w:val="center"/>
          </w:tcPr>
          <w:p>
            <w:pPr>
              <w:keepNext/>
              <w:spacing w:after="60" w:before="60"/>
              <w:jc w:val="left"/>
            </w:pPr>
            <w:r>
              <w:rPr>
                <w:rFonts w:ascii="Segoe UI Light" w:hAnsi="Segoe UI Light"/>
                <w:b/>
                <w:color w:val="FFFFFF"/>
                <w:sz w:val="18"/>
              </w:rPr>
              <w:t>Scenario share</w:t>
            </w:r>
          </w:p>
        </w:tc>
        <w:tc>
          <w:tcPr>
            <w:tcW w:type="dxa" w:w="1700"/>
            <w:shd w:fill="1E3A5F" w:val="clear"/>
            <w:vAlign w:val="center"/>
          </w:tcPr>
          <w:p>
            <w:pPr>
              <w:keepNext/>
              <w:spacing w:after="60" w:before="60"/>
              <w:jc w:val="left"/>
            </w:pPr>
            <w:r>
              <w:rPr>
                <w:rFonts w:ascii="Segoe UI Light" w:hAnsi="Segoe UI Light"/>
                <w:b/>
                <w:color w:val="FFFFFF"/>
                <w:sz w:val="18"/>
              </w:rPr>
              <w:t>Change (pp)</w:t>
            </w:r>
          </w:p>
        </w:tc>
      </w:tr>
      <w:tr>
        <w:trPr>
          <w:cantSplit/>
        </w:trPr>
        <w:tc>
          <w:tcPr>
            <w:tcW w:type="dxa" w:w="4535"/>
            <w:vAlign w:val="center"/>
          </w:tcPr>
          <w:p>
            <w:pPr>
              <w:keepNext/>
              <w:spacing w:after="60" w:before="60"/>
              <w:jc w:val="left"/>
            </w:pPr>
            <w:r>
              <w:rPr>
                <w:rFonts w:ascii="Segoe UI Light" w:hAnsi="Segoe UI Light"/>
                <w:b w:val="0"/>
                <w:sz w:val="18"/>
              </w:rPr>
              <w:t>Work Life Conflict (L) + Recognition (H) + Meaningful Work (H)</w:t>
            </w:r>
          </w:p>
        </w:tc>
        <w:tc>
          <w:tcPr>
            <w:tcW w:type="dxa" w:w="1700"/>
            <w:vAlign w:val="center"/>
          </w:tcPr>
          <w:p>
            <w:pPr>
              <w:keepNext/>
              <w:spacing w:after="60" w:before="60"/>
              <w:jc w:val="center"/>
            </w:pPr>
            <w:r>
              <w:rPr>
                <w:rFonts w:ascii="Segoe UI Light" w:hAnsi="Segoe UI Light"/>
                <w:b w:val="0"/>
                <w:sz w:val="18"/>
              </w:rPr>
              <w:t>34.1%</w:t>
            </w:r>
          </w:p>
        </w:tc>
        <w:tc>
          <w:tcPr>
            <w:tcW w:type="dxa" w:w="1700"/>
            <w:vAlign w:val="center"/>
          </w:tcPr>
          <w:p>
            <w:pPr>
              <w:keepNext/>
              <w:spacing w:after="60" w:before="60"/>
              <w:jc w:val="center"/>
            </w:pPr>
            <w:r>
              <w:rPr>
                <w:rFonts w:ascii="Segoe UI Light" w:hAnsi="Segoe UI Light"/>
                <w:b w:val="0"/>
                <w:sz w:val="18"/>
              </w:rPr>
              <w:t>64.0%</w:t>
            </w:r>
          </w:p>
        </w:tc>
        <w:tc>
          <w:tcPr>
            <w:tcW w:type="dxa" w:w="1700"/>
            <w:vAlign w:val="center"/>
          </w:tcPr>
          <w:p>
            <w:pPr>
              <w:keepNext/>
              <w:spacing w:after="60" w:before="60"/>
              <w:jc w:val="center"/>
            </w:pPr>
            <w:r>
              <w:rPr>
                <w:rFonts w:ascii="Segoe UI Light" w:hAnsi="Segoe UI Light"/>
                <w:b w:val="0"/>
                <w:sz w:val="18"/>
              </w:rPr>
              <w:t>+29.8 pp</w:t>
            </w:r>
          </w:p>
        </w:tc>
      </w:tr>
      <w:tr>
        <w:trPr>
          <w:cantSplit/>
        </w:trPr>
        <w:tc>
          <w:tcPr>
            <w:tcW w:type="dxa" w:w="4535"/>
            <w:shd w:fill="F1F5F9" w:val="clear"/>
            <w:vAlign w:val="center"/>
          </w:tcPr>
          <w:p>
            <w:pPr>
              <w:keepNext/>
              <w:spacing w:after="60" w:before="60"/>
              <w:jc w:val="left"/>
            </w:pPr>
            <w:r>
              <w:rPr>
                <w:rFonts w:ascii="Segoe UI Light" w:hAnsi="Segoe UI Light"/>
                <w:b w:val="0"/>
                <w:sz w:val="18"/>
              </w:rPr>
              <w:t>Work Life Conflict (L) + Procedural Justice (H) + Meaningful Work (H)</w:t>
            </w:r>
          </w:p>
        </w:tc>
        <w:tc>
          <w:tcPr>
            <w:tcW w:type="dxa" w:w="1700"/>
            <w:shd w:fill="F1F5F9" w:val="clear"/>
            <w:vAlign w:val="center"/>
          </w:tcPr>
          <w:p>
            <w:pPr>
              <w:keepNext/>
              <w:spacing w:after="60" w:before="60"/>
              <w:jc w:val="center"/>
            </w:pPr>
            <w:r>
              <w:rPr>
                <w:rFonts w:ascii="Segoe UI Light" w:hAnsi="Segoe UI Light"/>
                <w:b w:val="0"/>
                <w:sz w:val="18"/>
              </w:rPr>
              <w:t>34.1%</w:t>
            </w:r>
          </w:p>
        </w:tc>
        <w:tc>
          <w:tcPr>
            <w:tcW w:type="dxa" w:w="1700"/>
            <w:shd w:fill="F1F5F9" w:val="clear"/>
            <w:vAlign w:val="center"/>
          </w:tcPr>
          <w:p>
            <w:pPr>
              <w:keepNext/>
              <w:spacing w:after="60" w:before="60"/>
              <w:jc w:val="center"/>
            </w:pPr>
            <w:r>
              <w:rPr>
                <w:rFonts w:ascii="Segoe UI Light" w:hAnsi="Segoe UI Light"/>
                <w:b w:val="0"/>
                <w:sz w:val="18"/>
              </w:rPr>
              <w:t>58.1%</w:t>
            </w:r>
          </w:p>
        </w:tc>
        <w:tc>
          <w:tcPr>
            <w:tcW w:type="dxa" w:w="1700"/>
            <w:shd w:fill="F1F5F9" w:val="clear"/>
            <w:vAlign w:val="center"/>
          </w:tcPr>
          <w:p>
            <w:pPr>
              <w:keepNext/>
              <w:spacing w:after="60" w:before="60"/>
              <w:jc w:val="center"/>
            </w:pPr>
            <w:r>
              <w:rPr>
                <w:rFonts w:ascii="Segoe UI Light" w:hAnsi="Segoe UI Light"/>
                <w:b w:val="0"/>
                <w:sz w:val="18"/>
              </w:rPr>
              <w:t>+24.0 pp</w:t>
            </w:r>
          </w:p>
        </w:tc>
      </w:tr>
      <w:tr>
        <w:trPr>
          <w:cantSplit/>
        </w:trPr>
        <w:tc>
          <w:tcPr>
            <w:tcW w:type="dxa" w:w="4535"/>
            <w:vAlign w:val="center"/>
          </w:tcPr>
          <w:p>
            <w:pPr>
              <w:keepNext/>
              <w:spacing w:after="60" w:before="60"/>
              <w:jc w:val="left"/>
            </w:pPr>
            <w:r>
              <w:rPr>
                <w:rFonts w:ascii="Segoe UI Light" w:hAnsi="Segoe UI Light"/>
                <w:b w:val="0"/>
                <w:sz w:val="18"/>
              </w:rPr>
              <w:t>Recognition (H) + Meaningful Work (H) + Psychological Safety (H)</w:t>
            </w:r>
          </w:p>
        </w:tc>
        <w:tc>
          <w:tcPr>
            <w:tcW w:type="dxa" w:w="1700"/>
            <w:vAlign w:val="center"/>
          </w:tcPr>
          <w:p>
            <w:pPr>
              <w:keepNext/>
              <w:spacing w:after="60" w:before="60"/>
              <w:jc w:val="center"/>
            </w:pPr>
            <w:r>
              <w:rPr>
                <w:rFonts w:ascii="Segoe UI Light" w:hAnsi="Segoe UI Light"/>
                <w:b w:val="0"/>
                <w:sz w:val="18"/>
              </w:rPr>
              <w:t>34.1%</w:t>
            </w:r>
          </w:p>
        </w:tc>
        <w:tc>
          <w:tcPr>
            <w:tcW w:type="dxa" w:w="1700"/>
            <w:vAlign w:val="center"/>
          </w:tcPr>
          <w:p>
            <w:pPr>
              <w:keepNext/>
              <w:spacing w:after="60" w:before="60"/>
              <w:jc w:val="center"/>
            </w:pPr>
            <w:r>
              <w:rPr>
                <w:rFonts w:ascii="Segoe UI Light" w:hAnsi="Segoe UI Light"/>
                <w:b w:val="0"/>
                <w:sz w:val="18"/>
              </w:rPr>
              <w:t>58.0%</w:t>
            </w:r>
          </w:p>
        </w:tc>
        <w:tc>
          <w:tcPr>
            <w:tcW w:type="dxa" w:w="1700"/>
            <w:vAlign w:val="center"/>
          </w:tcPr>
          <w:p>
            <w:pPr>
              <w:keepNext/>
              <w:spacing w:after="60" w:before="60"/>
              <w:jc w:val="center"/>
            </w:pPr>
            <w:r>
              <w:rPr>
                <w:rFonts w:ascii="Segoe UI Light" w:hAnsi="Segoe UI Light"/>
                <w:b w:val="0"/>
                <w:sz w:val="18"/>
              </w:rPr>
              <w:t>+23.9 pp</w:t>
            </w:r>
          </w:p>
        </w:tc>
      </w:tr>
      <w:tr>
        <w:trPr>
          <w:cantSplit/>
        </w:trPr>
        <w:tc>
          <w:tcPr>
            <w:tcW w:type="dxa" w:w="4535"/>
            <w:shd w:fill="F1F5F9" w:val="clear"/>
            <w:vAlign w:val="center"/>
          </w:tcPr>
          <w:p>
            <w:pPr>
              <w:keepNext/>
              <w:spacing w:after="60" w:before="60"/>
              <w:jc w:val="left"/>
            </w:pPr>
            <w:r>
              <w:rPr>
                <w:rFonts w:ascii="Segoe UI Light" w:hAnsi="Segoe UI Light"/>
                <w:b w:val="0"/>
                <w:sz w:val="18"/>
              </w:rPr>
              <w:t>Work Life Conflict (L) + Supervisor Support (H) + Meaningful Work (H)</w:t>
            </w:r>
          </w:p>
        </w:tc>
        <w:tc>
          <w:tcPr>
            <w:tcW w:type="dxa" w:w="1700"/>
            <w:shd w:fill="F1F5F9" w:val="clear"/>
            <w:vAlign w:val="center"/>
          </w:tcPr>
          <w:p>
            <w:pPr>
              <w:keepNext/>
              <w:spacing w:after="60" w:before="60"/>
              <w:jc w:val="center"/>
            </w:pPr>
            <w:r>
              <w:rPr>
                <w:rFonts w:ascii="Segoe UI Light" w:hAnsi="Segoe UI Light"/>
                <w:b w:val="0"/>
                <w:sz w:val="18"/>
              </w:rPr>
              <w:t>34.1%</w:t>
            </w:r>
          </w:p>
        </w:tc>
        <w:tc>
          <w:tcPr>
            <w:tcW w:type="dxa" w:w="1700"/>
            <w:shd w:fill="F1F5F9" w:val="clear"/>
            <w:vAlign w:val="center"/>
          </w:tcPr>
          <w:p>
            <w:pPr>
              <w:keepNext/>
              <w:spacing w:after="60" w:before="60"/>
              <w:jc w:val="center"/>
            </w:pPr>
            <w:r>
              <w:rPr>
                <w:rFonts w:ascii="Segoe UI Light" w:hAnsi="Segoe UI Light"/>
                <w:b w:val="0"/>
                <w:sz w:val="18"/>
              </w:rPr>
              <w:t>57.8%</w:t>
            </w:r>
          </w:p>
        </w:tc>
        <w:tc>
          <w:tcPr>
            <w:tcW w:type="dxa" w:w="1700"/>
            <w:shd w:fill="F1F5F9" w:val="clear"/>
            <w:vAlign w:val="center"/>
          </w:tcPr>
          <w:p>
            <w:pPr>
              <w:keepNext/>
              <w:spacing w:after="60" w:before="60"/>
              <w:jc w:val="center"/>
            </w:pPr>
            <w:r>
              <w:rPr>
                <w:rFonts w:ascii="Segoe UI Light" w:hAnsi="Segoe UI Light"/>
                <w:b w:val="0"/>
                <w:sz w:val="18"/>
              </w:rPr>
              <w:t>+23.6 pp</w:t>
            </w:r>
          </w:p>
        </w:tc>
      </w:tr>
      <w:tr>
        <w:trPr>
          <w:cantSplit/>
        </w:trPr>
        <w:tc>
          <w:tcPr>
            <w:tcW w:type="dxa" w:w="4535"/>
            <w:vAlign w:val="center"/>
          </w:tcPr>
          <w:p>
            <w:pPr>
              <w:keepNext w:val="0"/>
              <w:spacing w:after="60" w:before="60"/>
              <w:jc w:val="left"/>
            </w:pPr>
            <w:r>
              <w:rPr>
                <w:rFonts w:ascii="Segoe UI Light" w:hAnsi="Segoe UI Light"/>
                <w:b w:val="0"/>
                <w:sz w:val="18"/>
              </w:rPr>
              <w:t>Supervisor Support (H) + Recognition (H) + Meaningful Work (H)</w:t>
            </w:r>
          </w:p>
        </w:tc>
        <w:tc>
          <w:tcPr>
            <w:tcW w:type="dxa" w:w="1700"/>
            <w:vAlign w:val="center"/>
          </w:tcPr>
          <w:p>
            <w:pPr>
              <w:keepNext w:val="0"/>
              <w:spacing w:after="60" w:before="60"/>
              <w:jc w:val="center"/>
            </w:pPr>
            <w:r>
              <w:rPr>
                <w:rFonts w:ascii="Segoe UI Light" w:hAnsi="Segoe UI Light"/>
                <w:b w:val="0"/>
                <w:sz w:val="18"/>
              </w:rPr>
              <w:t>34.1%</w:t>
            </w:r>
          </w:p>
        </w:tc>
        <w:tc>
          <w:tcPr>
            <w:tcW w:type="dxa" w:w="1700"/>
            <w:vAlign w:val="center"/>
          </w:tcPr>
          <w:p>
            <w:pPr>
              <w:keepNext w:val="0"/>
              <w:spacing w:after="60" w:before="60"/>
              <w:jc w:val="center"/>
            </w:pPr>
            <w:r>
              <w:rPr>
                <w:rFonts w:ascii="Segoe UI Light" w:hAnsi="Segoe UI Light"/>
                <w:b w:val="0"/>
                <w:sz w:val="18"/>
              </w:rPr>
              <w:t>57.5%</w:t>
            </w:r>
          </w:p>
        </w:tc>
        <w:tc>
          <w:tcPr>
            <w:tcW w:type="dxa" w:w="1700"/>
            <w:vAlign w:val="center"/>
          </w:tcPr>
          <w:p>
            <w:pPr>
              <w:keepNext w:val="0"/>
              <w:spacing w:after="60" w:before="60"/>
              <w:jc w:val="center"/>
            </w:pPr>
            <w:r>
              <w:rPr>
                <w:rFonts w:ascii="Segoe UI Light" w:hAnsi="Segoe UI Light"/>
                <w:b w:val="0"/>
                <w:sz w:val="18"/>
              </w:rPr>
              <w:t>+23.3 pp</w:t>
            </w:r>
          </w:p>
        </w:tc>
      </w:tr>
    </w:tbl>
    <w:p>
      <w:pPr>
        <w:pStyle w:val="Heading3"/>
      </w:pPr>
      <w:r>
        <w:rPr>
          <w:rFonts w:ascii="Segoe UI Light" w:hAnsi="Segoe UI Light"/>
          <w:b/>
          <w:color w:val="2D5A8E"/>
          <w:sz w:val="21"/>
        </w:rPr>
        <w:t>Top combined scenarios: Burnout</w:t>
      </w:r>
    </w:p>
    <w:p>
      <w:pPr>
        <w:spacing w:after="160"/>
      </w:pPr>
      <w:r>
        <w:rPr>
          <w:rFonts w:ascii="Segoe UI Light" w:hAnsi="Segoe UI Light"/>
          <w:color w:val="64748B"/>
          <w:sz w:val="20"/>
        </w:rPr>
        <w:t>L (favourable). Up to five supplied combinations, ranked by this outcome's change rather than the summed score. This is not an exhaustive search of all possible changes.</w:t>
      </w:r>
    </w:p>
    <w:tbl>
      <w:tblPr>
        <w:tblStyle w:val="TableGrid"/>
        <w:tblLayout w:type="fixed"/>
        <w:tblLook w:firstColumn="1" w:firstRow="1" w:lastColumn="0" w:lastRow="0" w:noHBand="0" w:noVBand="1" w:val="04A0"/>
        <w:tblW w:w="5000" w:type="pct"/>
      </w:tblPr>
      <w:tblGrid>
        <w:gridCol w:w="4535"/>
        <w:gridCol w:w="1700"/>
        <w:gridCol w:w="1700"/>
        <w:gridCol w:w="1700"/>
      </w:tblGrid>
      <w:tr>
        <w:trPr>
          <w:tblHeader/>
          <w:cantSplit/>
        </w:trPr>
        <w:tc>
          <w:tcPr>
            <w:tcW w:type="dxa" w:w="4535"/>
            <w:shd w:fill="1E3A5F" w:val="clear"/>
            <w:vAlign w:val="center"/>
          </w:tcPr>
          <w:p>
            <w:pPr>
              <w:keepNext/>
              <w:spacing w:after="60" w:before="60"/>
              <w:jc w:val="left"/>
            </w:pPr>
            <w:r>
              <w:rPr>
                <w:rFonts w:ascii="Segoe UI Light" w:hAnsi="Segoe UI Light"/>
                <w:b/>
                <w:color w:val="FFFFFF"/>
                <w:sz w:val="18"/>
              </w:rPr>
              <w:t>Factors compared together</w:t>
            </w:r>
          </w:p>
        </w:tc>
        <w:tc>
          <w:tcPr>
            <w:tcW w:type="dxa" w:w="1700"/>
            <w:shd w:fill="1E3A5F" w:val="clear"/>
            <w:vAlign w:val="center"/>
          </w:tcPr>
          <w:p>
            <w:pPr>
              <w:keepNext/>
              <w:spacing w:after="60" w:before="60"/>
              <w:jc w:val="left"/>
            </w:pPr>
            <w:r>
              <w:rPr>
                <w:rFonts w:ascii="Segoe UI Light" w:hAnsi="Segoe UI Light"/>
                <w:b/>
                <w:color w:val="FFFFFF"/>
                <w:sz w:val="18"/>
              </w:rPr>
              <w:t>Starting share</w:t>
            </w:r>
          </w:p>
        </w:tc>
        <w:tc>
          <w:tcPr>
            <w:tcW w:type="dxa" w:w="1700"/>
            <w:shd w:fill="1E3A5F" w:val="clear"/>
            <w:vAlign w:val="center"/>
          </w:tcPr>
          <w:p>
            <w:pPr>
              <w:keepNext/>
              <w:spacing w:after="60" w:before="60"/>
              <w:jc w:val="left"/>
            </w:pPr>
            <w:r>
              <w:rPr>
                <w:rFonts w:ascii="Segoe UI Light" w:hAnsi="Segoe UI Light"/>
                <w:b/>
                <w:color w:val="FFFFFF"/>
                <w:sz w:val="18"/>
              </w:rPr>
              <w:t>Scenario share</w:t>
            </w:r>
          </w:p>
        </w:tc>
        <w:tc>
          <w:tcPr>
            <w:tcW w:type="dxa" w:w="1700"/>
            <w:shd w:fill="1E3A5F" w:val="clear"/>
            <w:vAlign w:val="center"/>
          </w:tcPr>
          <w:p>
            <w:pPr>
              <w:keepNext/>
              <w:spacing w:after="60" w:before="60"/>
              <w:jc w:val="left"/>
            </w:pPr>
            <w:r>
              <w:rPr>
                <w:rFonts w:ascii="Segoe UI Light" w:hAnsi="Segoe UI Light"/>
                <w:b/>
                <w:color w:val="FFFFFF"/>
                <w:sz w:val="18"/>
              </w:rPr>
              <w:t>Change (pp)</w:t>
            </w:r>
          </w:p>
        </w:tc>
      </w:tr>
      <w:tr>
        <w:trPr>
          <w:cantSplit/>
        </w:trPr>
        <w:tc>
          <w:tcPr>
            <w:tcW w:type="dxa" w:w="4535"/>
            <w:vAlign w:val="center"/>
          </w:tcPr>
          <w:p>
            <w:pPr>
              <w:keepNext/>
              <w:spacing w:after="60" w:before="60"/>
              <w:jc w:val="left"/>
            </w:pPr>
            <w:r>
              <w:rPr>
                <w:rFonts w:ascii="Segoe UI Light" w:hAnsi="Segoe UI Light"/>
                <w:b w:val="0"/>
                <w:sz w:val="18"/>
              </w:rPr>
              <w:t>Role Overload (L) + Emotional Demand (L) + Meaningful Work (H)</w:t>
            </w:r>
          </w:p>
        </w:tc>
        <w:tc>
          <w:tcPr>
            <w:tcW w:type="dxa" w:w="1700"/>
            <w:vAlign w:val="center"/>
          </w:tcPr>
          <w:p>
            <w:pPr>
              <w:keepNext/>
              <w:spacing w:after="60" w:before="60"/>
              <w:jc w:val="center"/>
            </w:pPr>
            <w:r>
              <w:rPr>
                <w:rFonts w:ascii="Segoe UI Light" w:hAnsi="Segoe UI Light"/>
                <w:b w:val="0"/>
                <w:sz w:val="18"/>
              </w:rPr>
              <w:t>33.3%</w:t>
            </w:r>
          </w:p>
        </w:tc>
        <w:tc>
          <w:tcPr>
            <w:tcW w:type="dxa" w:w="1700"/>
            <w:vAlign w:val="center"/>
          </w:tcPr>
          <w:p>
            <w:pPr>
              <w:keepNext/>
              <w:spacing w:after="60" w:before="60"/>
              <w:jc w:val="center"/>
            </w:pPr>
            <w:r>
              <w:rPr>
                <w:rFonts w:ascii="Segoe UI Light" w:hAnsi="Segoe UI Light"/>
                <w:b w:val="0"/>
                <w:sz w:val="18"/>
              </w:rPr>
              <w:t>66.1%</w:t>
            </w:r>
          </w:p>
        </w:tc>
        <w:tc>
          <w:tcPr>
            <w:tcW w:type="dxa" w:w="1700"/>
            <w:vAlign w:val="center"/>
          </w:tcPr>
          <w:p>
            <w:pPr>
              <w:keepNext/>
              <w:spacing w:after="60" w:before="60"/>
              <w:jc w:val="center"/>
            </w:pPr>
            <w:r>
              <w:rPr>
                <w:rFonts w:ascii="Segoe UI Light" w:hAnsi="Segoe UI Light"/>
                <w:b w:val="0"/>
                <w:sz w:val="18"/>
              </w:rPr>
              <w:t>+32.7 pp</w:t>
            </w:r>
          </w:p>
        </w:tc>
      </w:tr>
      <w:tr>
        <w:trPr>
          <w:cantSplit/>
        </w:trPr>
        <w:tc>
          <w:tcPr>
            <w:tcW w:type="dxa" w:w="4535"/>
            <w:shd w:fill="F1F5F9" w:val="clear"/>
            <w:vAlign w:val="center"/>
          </w:tcPr>
          <w:p>
            <w:pPr>
              <w:keepNext/>
              <w:spacing w:after="60" w:before="60"/>
              <w:jc w:val="left"/>
            </w:pPr>
            <w:r>
              <w:rPr>
                <w:rFonts w:ascii="Segoe UI Light" w:hAnsi="Segoe UI Light"/>
                <w:b w:val="0"/>
                <w:sz w:val="18"/>
              </w:rPr>
              <w:t>Role Overload (L) + Emotional Demand (L) + Recognition (H)</w:t>
            </w:r>
          </w:p>
        </w:tc>
        <w:tc>
          <w:tcPr>
            <w:tcW w:type="dxa" w:w="1700"/>
            <w:shd w:fill="F1F5F9" w:val="clear"/>
            <w:vAlign w:val="center"/>
          </w:tcPr>
          <w:p>
            <w:pPr>
              <w:keepNext/>
              <w:spacing w:after="60" w:before="60"/>
              <w:jc w:val="center"/>
            </w:pPr>
            <w:r>
              <w:rPr>
                <w:rFonts w:ascii="Segoe UI Light" w:hAnsi="Segoe UI Light"/>
                <w:b w:val="0"/>
                <w:sz w:val="18"/>
              </w:rPr>
              <w:t>33.3%</w:t>
            </w:r>
          </w:p>
        </w:tc>
        <w:tc>
          <w:tcPr>
            <w:tcW w:type="dxa" w:w="1700"/>
            <w:shd w:fill="F1F5F9" w:val="clear"/>
            <w:vAlign w:val="center"/>
          </w:tcPr>
          <w:p>
            <w:pPr>
              <w:keepNext/>
              <w:spacing w:after="60" w:before="60"/>
              <w:jc w:val="center"/>
            </w:pPr>
            <w:r>
              <w:rPr>
                <w:rFonts w:ascii="Segoe UI Light" w:hAnsi="Segoe UI Light"/>
                <w:b w:val="0"/>
                <w:sz w:val="18"/>
              </w:rPr>
              <w:t>65.5%</w:t>
            </w:r>
          </w:p>
        </w:tc>
        <w:tc>
          <w:tcPr>
            <w:tcW w:type="dxa" w:w="1700"/>
            <w:shd w:fill="F1F5F9" w:val="clear"/>
            <w:vAlign w:val="center"/>
          </w:tcPr>
          <w:p>
            <w:pPr>
              <w:keepNext/>
              <w:spacing w:after="60" w:before="60"/>
              <w:jc w:val="center"/>
            </w:pPr>
            <w:r>
              <w:rPr>
                <w:rFonts w:ascii="Segoe UI Light" w:hAnsi="Segoe UI Light"/>
                <w:b w:val="0"/>
                <w:sz w:val="18"/>
              </w:rPr>
              <w:t>+32.1 pp</w:t>
            </w:r>
          </w:p>
        </w:tc>
      </w:tr>
      <w:tr>
        <w:trPr>
          <w:cantSplit/>
        </w:trPr>
        <w:tc>
          <w:tcPr>
            <w:tcW w:type="dxa" w:w="4535"/>
            <w:vAlign w:val="center"/>
          </w:tcPr>
          <w:p>
            <w:pPr>
              <w:keepNext/>
              <w:spacing w:after="60" w:before="60"/>
              <w:jc w:val="left"/>
            </w:pPr>
            <w:r>
              <w:rPr>
                <w:rFonts w:ascii="Segoe UI Light" w:hAnsi="Segoe UI Light"/>
                <w:b w:val="0"/>
                <w:sz w:val="18"/>
              </w:rPr>
              <w:t>Role Overload (L) + Emotional Demand (L) + Work Life Conflict (L)</w:t>
            </w:r>
          </w:p>
        </w:tc>
        <w:tc>
          <w:tcPr>
            <w:tcW w:type="dxa" w:w="1700"/>
            <w:vAlign w:val="center"/>
          </w:tcPr>
          <w:p>
            <w:pPr>
              <w:keepNext/>
              <w:spacing w:after="60" w:before="60"/>
              <w:jc w:val="center"/>
            </w:pPr>
            <w:r>
              <w:rPr>
                <w:rFonts w:ascii="Segoe UI Light" w:hAnsi="Segoe UI Light"/>
                <w:b w:val="0"/>
                <w:sz w:val="18"/>
              </w:rPr>
              <w:t>33.3%</w:t>
            </w:r>
          </w:p>
        </w:tc>
        <w:tc>
          <w:tcPr>
            <w:tcW w:type="dxa" w:w="1700"/>
            <w:vAlign w:val="center"/>
          </w:tcPr>
          <w:p>
            <w:pPr>
              <w:keepNext/>
              <w:spacing w:after="60" w:before="60"/>
              <w:jc w:val="center"/>
            </w:pPr>
            <w:r>
              <w:rPr>
                <w:rFonts w:ascii="Segoe UI Light" w:hAnsi="Segoe UI Light"/>
                <w:b w:val="0"/>
                <w:sz w:val="18"/>
              </w:rPr>
              <w:t>64.9%</w:t>
            </w:r>
          </w:p>
        </w:tc>
        <w:tc>
          <w:tcPr>
            <w:tcW w:type="dxa" w:w="1700"/>
            <w:vAlign w:val="center"/>
          </w:tcPr>
          <w:p>
            <w:pPr>
              <w:keepNext/>
              <w:spacing w:after="60" w:before="60"/>
              <w:jc w:val="center"/>
            </w:pPr>
            <w:r>
              <w:rPr>
                <w:rFonts w:ascii="Segoe UI Light" w:hAnsi="Segoe UI Light"/>
                <w:b w:val="0"/>
                <w:sz w:val="18"/>
              </w:rPr>
              <w:t>+31.6 pp</w:t>
            </w:r>
          </w:p>
        </w:tc>
      </w:tr>
      <w:tr>
        <w:trPr>
          <w:cantSplit/>
        </w:trPr>
        <w:tc>
          <w:tcPr>
            <w:tcW w:type="dxa" w:w="4535"/>
            <w:shd w:fill="F1F5F9" w:val="clear"/>
            <w:vAlign w:val="center"/>
          </w:tcPr>
          <w:p>
            <w:pPr>
              <w:keepNext/>
              <w:spacing w:after="60" w:before="60"/>
              <w:jc w:val="left"/>
            </w:pPr>
            <w:r>
              <w:rPr>
                <w:rFonts w:ascii="Segoe UI Light" w:hAnsi="Segoe UI Light"/>
                <w:b w:val="0"/>
                <w:sz w:val="18"/>
              </w:rPr>
              <w:t>Role Overload (L) + Work Life Conflict (L) + Meaningful Work (H)</w:t>
            </w:r>
          </w:p>
        </w:tc>
        <w:tc>
          <w:tcPr>
            <w:tcW w:type="dxa" w:w="1700"/>
            <w:shd w:fill="F1F5F9" w:val="clear"/>
            <w:vAlign w:val="center"/>
          </w:tcPr>
          <w:p>
            <w:pPr>
              <w:keepNext/>
              <w:spacing w:after="60" w:before="60"/>
              <w:jc w:val="center"/>
            </w:pPr>
            <w:r>
              <w:rPr>
                <w:rFonts w:ascii="Segoe UI Light" w:hAnsi="Segoe UI Light"/>
                <w:b w:val="0"/>
                <w:sz w:val="18"/>
              </w:rPr>
              <w:t>33.3%</w:t>
            </w:r>
          </w:p>
        </w:tc>
        <w:tc>
          <w:tcPr>
            <w:tcW w:type="dxa" w:w="1700"/>
            <w:shd w:fill="F1F5F9" w:val="clear"/>
            <w:vAlign w:val="center"/>
          </w:tcPr>
          <w:p>
            <w:pPr>
              <w:keepNext/>
              <w:spacing w:after="60" w:before="60"/>
              <w:jc w:val="center"/>
            </w:pPr>
            <w:r>
              <w:rPr>
                <w:rFonts w:ascii="Segoe UI Light" w:hAnsi="Segoe UI Light"/>
                <w:b w:val="0"/>
                <w:sz w:val="18"/>
              </w:rPr>
              <w:t>64.2%</w:t>
            </w:r>
          </w:p>
        </w:tc>
        <w:tc>
          <w:tcPr>
            <w:tcW w:type="dxa" w:w="1700"/>
            <w:shd w:fill="F1F5F9" w:val="clear"/>
            <w:vAlign w:val="center"/>
          </w:tcPr>
          <w:p>
            <w:pPr>
              <w:keepNext/>
              <w:spacing w:after="60" w:before="60"/>
              <w:jc w:val="center"/>
            </w:pPr>
            <w:r>
              <w:rPr>
                <w:rFonts w:ascii="Segoe UI Light" w:hAnsi="Segoe UI Light"/>
                <w:b w:val="0"/>
                <w:sz w:val="18"/>
              </w:rPr>
              <w:t>+30.8 pp</w:t>
            </w:r>
          </w:p>
        </w:tc>
      </w:tr>
      <w:tr>
        <w:trPr>
          <w:cantSplit/>
        </w:trPr>
        <w:tc>
          <w:tcPr>
            <w:tcW w:type="dxa" w:w="4535"/>
            <w:vAlign w:val="center"/>
          </w:tcPr>
          <w:p>
            <w:pPr>
              <w:keepNext w:val="0"/>
              <w:spacing w:after="60" w:before="60"/>
              <w:jc w:val="left"/>
            </w:pPr>
            <w:r>
              <w:rPr>
                <w:rFonts w:ascii="Segoe UI Light" w:hAnsi="Segoe UI Light"/>
                <w:b w:val="0"/>
                <w:sz w:val="18"/>
              </w:rPr>
              <w:t>Role Overload (L) + Emotional Demand (L) + Procedural Justice (H)</w:t>
            </w:r>
          </w:p>
        </w:tc>
        <w:tc>
          <w:tcPr>
            <w:tcW w:type="dxa" w:w="1700"/>
            <w:vAlign w:val="center"/>
          </w:tcPr>
          <w:p>
            <w:pPr>
              <w:keepNext w:val="0"/>
              <w:spacing w:after="60" w:before="60"/>
              <w:jc w:val="center"/>
            </w:pPr>
            <w:r>
              <w:rPr>
                <w:rFonts w:ascii="Segoe UI Light" w:hAnsi="Segoe UI Light"/>
                <w:b w:val="0"/>
                <w:sz w:val="18"/>
              </w:rPr>
              <w:t>33.3%</w:t>
            </w:r>
          </w:p>
        </w:tc>
        <w:tc>
          <w:tcPr>
            <w:tcW w:type="dxa" w:w="1700"/>
            <w:vAlign w:val="center"/>
          </w:tcPr>
          <w:p>
            <w:pPr>
              <w:keepNext w:val="0"/>
              <w:spacing w:after="60" w:before="60"/>
              <w:jc w:val="center"/>
            </w:pPr>
            <w:r>
              <w:rPr>
                <w:rFonts w:ascii="Segoe UI Light" w:hAnsi="Segoe UI Light"/>
                <w:b w:val="0"/>
                <w:sz w:val="18"/>
              </w:rPr>
              <w:t>63.3%</w:t>
            </w:r>
          </w:p>
        </w:tc>
        <w:tc>
          <w:tcPr>
            <w:tcW w:type="dxa" w:w="1700"/>
            <w:vAlign w:val="center"/>
          </w:tcPr>
          <w:p>
            <w:pPr>
              <w:keepNext w:val="0"/>
              <w:spacing w:after="60" w:before="60"/>
              <w:jc w:val="center"/>
            </w:pPr>
            <w:r>
              <w:rPr>
                <w:rFonts w:ascii="Segoe UI Light" w:hAnsi="Segoe UI Light"/>
                <w:b w:val="0"/>
                <w:sz w:val="18"/>
              </w:rPr>
              <w:t>+30.0 pp</w:t>
            </w:r>
          </w:p>
        </w:tc>
      </w:tr>
    </w:tbl>
    <w:p>
      <w:pPr>
        <w:pStyle w:val="Heading3"/>
      </w:pPr>
      <w:r>
        <w:rPr>
          <w:rFonts w:ascii="Segoe UI Light" w:hAnsi="Segoe UI Light"/>
          <w:b/>
          <w:color w:val="2D5A8E"/>
          <w:sz w:val="21"/>
        </w:rPr>
        <w:t>Top combined scenarios: Psych Distress</w:t>
      </w:r>
    </w:p>
    <w:p>
      <w:pPr>
        <w:spacing w:after="160"/>
      </w:pPr>
      <w:r>
        <w:rPr>
          <w:rFonts w:ascii="Segoe UI Light" w:hAnsi="Segoe UI Light"/>
          <w:color w:val="64748B"/>
          <w:sz w:val="20"/>
        </w:rPr>
        <w:t>L (favourable). Up to five supplied combinations, ranked by this outcome's change rather than the summed score. This is not an exhaustive search of all possible changes.</w:t>
      </w:r>
    </w:p>
    <w:tbl>
      <w:tblPr>
        <w:tblStyle w:val="TableGrid"/>
        <w:tblLayout w:type="fixed"/>
        <w:tblLook w:firstColumn="1" w:firstRow="1" w:lastColumn="0" w:lastRow="0" w:noHBand="0" w:noVBand="1" w:val="04A0"/>
        <w:tblW w:w="5000" w:type="pct"/>
      </w:tblPr>
      <w:tblGrid>
        <w:gridCol w:w="4535"/>
        <w:gridCol w:w="1700"/>
        <w:gridCol w:w="1700"/>
        <w:gridCol w:w="1700"/>
      </w:tblGrid>
      <w:tr>
        <w:trPr>
          <w:tblHeader/>
          <w:cantSplit/>
        </w:trPr>
        <w:tc>
          <w:tcPr>
            <w:tcW w:type="dxa" w:w="4535"/>
            <w:shd w:fill="1E3A5F" w:val="clear"/>
            <w:vAlign w:val="center"/>
          </w:tcPr>
          <w:p>
            <w:pPr>
              <w:keepNext/>
              <w:spacing w:after="60" w:before="60"/>
              <w:jc w:val="left"/>
            </w:pPr>
            <w:r>
              <w:rPr>
                <w:rFonts w:ascii="Segoe UI Light" w:hAnsi="Segoe UI Light"/>
                <w:b/>
                <w:color w:val="FFFFFF"/>
                <w:sz w:val="18"/>
              </w:rPr>
              <w:t>Factors compared together</w:t>
            </w:r>
          </w:p>
        </w:tc>
        <w:tc>
          <w:tcPr>
            <w:tcW w:type="dxa" w:w="1700"/>
            <w:shd w:fill="1E3A5F" w:val="clear"/>
            <w:vAlign w:val="center"/>
          </w:tcPr>
          <w:p>
            <w:pPr>
              <w:keepNext/>
              <w:spacing w:after="60" w:before="60"/>
              <w:jc w:val="left"/>
            </w:pPr>
            <w:r>
              <w:rPr>
                <w:rFonts w:ascii="Segoe UI Light" w:hAnsi="Segoe UI Light"/>
                <w:b/>
                <w:color w:val="FFFFFF"/>
                <w:sz w:val="18"/>
              </w:rPr>
              <w:t>Starting share</w:t>
            </w:r>
          </w:p>
        </w:tc>
        <w:tc>
          <w:tcPr>
            <w:tcW w:type="dxa" w:w="1700"/>
            <w:shd w:fill="1E3A5F" w:val="clear"/>
            <w:vAlign w:val="center"/>
          </w:tcPr>
          <w:p>
            <w:pPr>
              <w:keepNext/>
              <w:spacing w:after="60" w:before="60"/>
              <w:jc w:val="left"/>
            </w:pPr>
            <w:r>
              <w:rPr>
                <w:rFonts w:ascii="Segoe UI Light" w:hAnsi="Segoe UI Light"/>
                <w:b/>
                <w:color w:val="FFFFFF"/>
                <w:sz w:val="18"/>
              </w:rPr>
              <w:t>Scenario share</w:t>
            </w:r>
          </w:p>
        </w:tc>
        <w:tc>
          <w:tcPr>
            <w:tcW w:type="dxa" w:w="1700"/>
            <w:shd w:fill="1E3A5F" w:val="clear"/>
            <w:vAlign w:val="center"/>
          </w:tcPr>
          <w:p>
            <w:pPr>
              <w:keepNext/>
              <w:spacing w:after="60" w:before="60"/>
              <w:jc w:val="left"/>
            </w:pPr>
            <w:r>
              <w:rPr>
                <w:rFonts w:ascii="Segoe UI Light" w:hAnsi="Segoe UI Light"/>
                <w:b/>
                <w:color w:val="FFFFFF"/>
                <w:sz w:val="18"/>
              </w:rPr>
              <w:t>Change (pp)</w:t>
            </w:r>
          </w:p>
        </w:tc>
      </w:tr>
      <w:tr>
        <w:trPr>
          <w:cantSplit/>
        </w:trPr>
        <w:tc>
          <w:tcPr>
            <w:tcW w:type="dxa" w:w="4535"/>
            <w:vAlign w:val="center"/>
          </w:tcPr>
          <w:p>
            <w:pPr>
              <w:keepNext/>
              <w:spacing w:after="60" w:before="60"/>
              <w:jc w:val="left"/>
            </w:pPr>
            <w:r>
              <w:rPr>
                <w:rFonts w:ascii="Segoe UI Light" w:hAnsi="Segoe UI Light"/>
                <w:b w:val="0"/>
                <w:sz w:val="18"/>
              </w:rPr>
              <w:t>Role Overload (L) + Work Life Conflict (L) + Job Insecurity (L)</w:t>
            </w:r>
          </w:p>
        </w:tc>
        <w:tc>
          <w:tcPr>
            <w:tcW w:type="dxa" w:w="1700"/>
            <w:vAlign w:val="center"/>
          </w:tcPr>
          <w:p>
            <w:pPr>
              <w:keepNext/>
              <w:spacing w:after="60" w:before="60"/>
              <w:jc w:val="center"/>
            </w:pPr>
            <w:r>
              <w:rPr>
                <w:rFonts w:ascii="Segoe UI Light" w:hAnsi="Segoe UI Light"/>
                <w:b w:val="0"/>
                <w:sz w:val="18"/>
              </w:rPr>
              <w:t>45.4%</w:t>
            </w:r>
          </w:p>
        </w:tc>
        <w:tc>
          <w:tcPr>
            <w:tcW w:type="dxa" w:w="1700"/>
            <w:vAlign w:val="center"/>
          </w:tcPr>
          <w:p>
            <w:pPr>
              <w:keepNext/>
              <w:spacing w:after="60" w:before="60"/>
              <w:jc w:val="center"/>
            </w:pPr>
            <w:r>
              <w:rPr>
                <w:rFonts w:ascii="Segoe UI Light" w:hAnsi="Segoe UI Light"/>
                <w:b w:val="0"/>
                <w:sz w:val="18"/>
              </w:rPr>
              <w:t>66.8%</w:t>
            </w:r>
          </w:p>
        </w:tc>
        <w:tc>
          <w:tcPr>
            <w:tcW w:type="dxa" w:w="1700"/>
            <w:vAlign w:val="center"/>
          </w:tcPr>
          <w:p>
            <w:pPr>
              <w:keepNext/>
              <w:spacing w:after="60" w:before="60"/>
              <w:jc w:val="center"/>
            </w:pPr>
            <w:r>
              <w:rPr>
                <w:rFonts w:ascii="Segoe UI Light" w:hAnsi="Segoe UI Light"/>
                <w:b w:val="0"/>
                <w:sz w:val="18"/>
              </w:rPr>
              <w:t>+21.4 pp</w:t>
            </w:r>
          </w:p>
        </w:tc>
      </w:tr>
      <w:tr>
        <w:trPr>
          <w:cantSplit/>
        </w:trPr>
        <w:tc>
          <w:tcPr>
            <w:tcW w:type="dxa" w:w="4535"/>
            <w:shd w:fill="F1F5F9" w:val="clear"/>
            <w:vAlign w:val="center"/>
          </w:tcPr>
          <w:p>
            <w:pPr>
              <w:keepNext/>
              <w:spacing w:after="60" w:before="60"/>
              <w:jc w:val="left"/>
            </w:pPr>
            <w:r>
              <w:rPr>
                <w:rFonts w:ascii="Segoe UI Light" w:hAnsi="Segoe UI Light"/>
                <w:b w:val="0"/>
                <w:sz w:val="18"/>
              </w:rPr>
              <w:t>Role Overload (L) + Emotional Demand (L) + Work Life Conflict (L)</w:t>
            </w:r>
          </w:p>
        </w:tc>
        <w:tc>
          <w:tcPr>
            <w:tcW w:type="dxa" w:w="1700"/>
            <w:shd w:fill="F1F5F9" w:val="clear"/>
            <w:vAlign w:val="center"/>
          </w:tcPr>
          <w:p>
            <w:pPr>
              <w:keepNext/>
              <w:spacing w:after="60" w:before="60"/>
              <w:jc w:val="center"/>
            </w:pPr>
            <w:r>
              <w:rPr>
                <w:rFonts w:ascii="Segoe UI Light" w:hAnsi="Segoe UI Light"/>
                <w:b w:val="0"/>
                <w:sz w:val="18"/>
              </w:rPr>
              <w:t>45.4%</w:t>
            </w:r>
          </w:p>
        </w:tc>
        <w:tc>
          <w:tcPr>
            <w:tcW w:type="dxa" w:w="1700"/>
            <w:shd w:fill="F1F5F9" w:val="clear"/>
            <w:vAlign w:val="center"/>
          </w:tcPr>
          <w:p>
            <w:pPr>
              <w:keepNext/>
              <w:spacing w:after="60" w:before="60"/>
              <w:jc w:val="center"/>
            </w:pPr>
            <w:r>
              <w:rPr>
                <w:rFonts w:ascii="Segoe UI Light" w:hAnsi="Segoe UI Light"/>
                <w:b w:val="0"/>
                <w:sz w:val="18"/>
              </w:rPr>
              <w:t>64.9%</w:t>
            </w:r>
          </w:p>
        </w:tc>
        <w:tc>
          <w:tcPr>
            <w:tcW w:type="dxa" w:w="1700"/>
            <w:shd w:fill="F1F5F9" w:val="clear"/>
            <w:vAlign w:val="center"/>
          </w:tcPr>
          <w:p>
            <w:pPr>
              <w:keepNext/>
              <w:spacing w:after="60" w:before="60"/>
              <w:jc w:val="center"/>
            </w:pPr>
            <w:r>
              <w:rPr>
                <w:rFonts w:ascii="Segoe UI Light" w:hAnsi="Segoe UI Light"/>
                <w:b w:val="0"/>
                <w:sz w:val="18"/>
              </w:rPr>
              <w:t>+19.5 pp</w:t>
            </w:r>
          </w:p>
        </w:tc>
      </w:tr>
      <w:tr>
        <w:trPr>
          <w:cantSplit/>
        </w:trPr>
        <w:tc>
          <w:tcPr>
            <w:tcW w:type="dxa" w:w="4535"/>
            <w:vAlign w:val="center"/>
          </w:tcPr>
          <w:p>
            <w:pPr>
              <w:keepNext/>
              <w:spacing w:after="60" w:before="60"/>
              <w:jc w:val="left"/>
            </w:pPr>
            <w:r>
              <w:rPr>
                <w:rFonts w:ascii="Segoe UI Light" w:hAnsi="Segoe UI Light"/>
                <w:b w:val="0"/>
                <w:sz w:val="18"/>
              </w:rPr>
              <w:t>Role Overload (L) + Work Life Conflict (L) + Meaningful Work (H)</w:t>
            </w:r>
          </w:p>
        </w:tc>
        <w:tc>
          <w:tcPr>
            <w:tcW w:type="dxa" w:w="1700"/>
            <w:vAlign w:val="center"/>
          </w:tcPr>
          <w:p>
            <w:pPr>
              <w:keepNext/>
              <w:spacing w:after="60" w:before="60"/>
              <w:jc w:val="center"/>
            </w:pPr>
            <w:r>
              <w:rPr>
                <w:rFonts w:ascii="Segoe UI Light" w:hAnsi="Segoe UI Light"/>
                <w:b w:val="0"/>
                <w:sz w:val="18"/>
              </w:rPr>
              <w:t>45.4%</w:t>
            </w:r>
          </w:p>
        </w:tc>
        <w:tc>
          <w:tcPr>
            <w:tcW w:type="dxa" w:w="1700"/>
            <w:vAlign w:val="center"/>
          </w:tcPr>
          <w:p>
            <w:pPr>
              <w:keepNext/>
              <w:spacing w:after="60" w:before="60"/>
              <w:jc w:val="center"/>
            </w:pPr>
            <w:r>
              <w:rPr>
                <w:rFonts w:ascii="Segoe UI Light" w:hAnsi="Segoe UI Light"/>
                <w:b w:val="0"/>
                <w:sz w:val="18"/>
              </w:rPr>
              <w:t>64.8%</w:t>
            </w:r>
          </w:p>
        </w:tc>
        <w:tc>
          <w:tcPr>
            <w:tcW w:type="dxa" w:w="1700"/>
            <w:vAlign w:val="center"/>
          </w:tcPr>
          <w:p>
            <w:pPr>
              <w:keepNext/>
              <w:spacing w:after="60" w:before="60"/>
              <w:jc w:val="center"/>
            </w:pPr>
            <w:r>
              <w:rPr>
                <w:rFonts w:ascii="Segoe UI Light" w:hAnsi="Segoe UI Light"/>
                <w:b w:val="0"/>
                <w:sz w:val="18"/>
              </w:rPr>
              <w:t>+19.4 pp</w:t>
            </w:r>
          </w:p>
        </w:tc>
      </w:tr>
      <w:tr>
        <w:trPr>
          <w:cantSplit/>
        </w:trPr>
        <w:tc>
          <w:tcPr>
            <w:tcW w:type="dxa" w:w="4535"/>
            <w:shd w:fill="F1F5F9" w:val="clear"/>
            <w:vAlign w:val="center"/>
          </w:tcPr>
          <w:p>
            <w:pPr>
              <w:keepNext/>
              <w:spacing w:after="60" w:before="60"/>
              <w:jc w:val="left"/>
            </w:pPr>
            <w:r>
              <w:rPr>
                <w:rFonts w:ascii="Segoe UI Light" w:hAnsi="Segoe UI Light"/>
                <w:b w:val="0"/>
                <w:sz w:val="18"/>
              </w:rPr>
              <w:t>Role Overload (L) + Work Life Conflict (L) + Change Consultation (H)</w:t>
            </w:r>
          </w:p>
        </w:tc>
        <w:tc>
          <w:tcPr>
            <w:tcW w:type="dxa" w:w="1700"/>
            <w:shd w:fill="F1F5F9" w:val="clear"/>
            <w:vAlign w:val="center"/>
          </w:tcPr>
          <w:p>
            <w:pPr>
              <w:keepNext/>
              <w:spacing w:after="60" w:before="60"/>
              <w:jc w:val="center"/>
            </w:pPr>
            <w:r>
              <w:rPr>
                <w:rFonts w:ascii="Segoe UI Light" w:hAnsi="Segoe UI Light"/>
                <w:b w:val="0"/>
                <w:sz w:val="18"/>
              </w:rPr>
              <w:t>45.4%</w:t>
            </w:r>
          </w:p>
        </w:tc>
        <w:tc>
          <w:tcPr>
            <w:tcW w:type="dxa" w:w="1700"/>
            <w:shd w:fill="F1F5F9" w:val="clear"/>
            <w:vAlign w:val="center"/>
          </w:tcPr>
          <w:p>
            <w:pPr>
              <w:keepNext/>
              <w:spacing w:after="60" w:before="60"/>
              <w:jc w:val="center"/>
            </w:pPr>
            <w:r>
              <w:rPr>
                <w:rFonts w:ascii="Segoe UI Light" w:hAnsi="Segoe UI Light"/>
                <w:b w:val="0"/>
                <w:sz w:val="18"/>
              </w:rPr>
              <w:t>64.6%</w:t>
            </w:r>
          </w:p>
        </w:tc>
        <w:tc>
          <w:tcPr>
            <w:tcW w:type="dxa" w:w="1700"/>
            <w:shd w:fill="F1F5F9" w:val="clear"/>
            <w:vAlign w:val="center"/>
          </w:tcPr>
          <w:p>
            <w:pPr>
              <w:keepNext/>
              <w:spacing w:after="60" w:before="60"/>
              <w:jc w:val="center"/>
            </w:pPr>
            <w:r>
              <w:rPr>
                <w:rFonts w:ascii="Segoe UI Light" w:hAnsi="Segoe UI Light"/>
                <w:b w:val="0"/>
                <w:sz w:val="18"/>
              </w:rPr>
              <w:t>+19.2 pp</w:t>
            </w:r>
          </w:p>
        </w:tc>
      </w:tr>
      <w:tr>
        <w:trPr>
          <w:cantSplit/>
        </w:trPr>
        <w:tc>
          <w:tcPr>
            <w:tcW w:type="dxa" w:w="4535"/>
            <w:vAlign w:val="center"/>
          </w:tcPr>
          <w:p>
            <w:pPr>
              <w:keepNext w:val="0"/>
              <w:spacing w:after="60" w:before="60"/>
              <w:jc w:val="left"/>
            </w:pPr>
            <w:r>
              <w:rPr>
                <w:rFonts w:ascii="Segoe UI Light" w:hAnsi="Segoe UI Light"/>
                <w:b w:val="0"/>
                <w:sz w:val="18"/>
              </w:rPr>
              <w:t>Role Overload (L) + Work Life Conflict (L) + Recognition (H)</w:t>
            </w:r>
          </w:p>
        </w:tc>
        <w:tc>
          <w:tcPr>
            <w:tcW w:type="dxa" w:w="1700"/>
            <w:vAlign w:val="center"/>
          </w:tcPr>
          <w:p>
            <w:pPr>
              <w:keepNext w:val="0"/>
              <w:spacing w:after="60" w:before="60"/>
              <w:jc w:val="center"/>
            </w:pPr>
            <w:r>
              <w:rPr>
                <w:rFonts w:ascii="Segoe UI Light" w:hAnsi="Segoe UI Light"/>
                <w:b w:val="0"/>
                <w:sz w:val="18"/>
              </w:rPr>
              <w:t>45.4%</w:t>
            </w:r>
          </w:p>
        </w:tc>
        <w:tc>
          <w:tcPr>
            <w:tcW w:type="dxa" w:w="1700"/>
            <w:vAlign w:val="center"/>
          </w:tcPr>
          <w:p>
            <w:pPr>
              <w:keepNext w:val="0"/>
              <w:spacing w:after="60" w:before="60"/>
              <w:jc w:val="center"/>
            </w:pPr>
            <w:r>
              <w:rPr>
                <w:rFonts w:ascii="Segoe UI Light" w:hAnsi="Segoe UI Light"/>
                <w:b w:val="0"/>
                <w:sz w:val="18"/>
              </w:rPr>
              <w:t>64.5%</w:t>
            </w:r>
          </w:p>
        </w:tc>
        <w:tc>
          <w:tcPr>
            <w:tcW w:type="dxa" w:w="1700"/>
            <w:vAlign w:val="center"/>
          </w:tcPr>
          <w:p>
            <w:pPr>
              <w:keepNext w:val="0"/>
              <w:spacing w:after="60" w:before="60"/>
              <w:jc w:val="center"/>
            </w:pPr>
            <w:r>
              <w:rPr>
                <w:rFonts w:ascii="Segoe UI Light" w:hAnsi="Segoe UI Light"/>
                <w:b w:val="0"/>
                <w:sz w:val="18"/>
              </w:rPr>
              <w:t>+19.0 pp</w:t>
            </w:r>
          </w:p>
        </w:tc>
      </w:tr>
    </w:tbl>
    <w:p>
      <w:bookmarkStart w:id="23" w:name="_PWToc23"/>
      <w:pPr>
        <w:pStyle w:val="Heading2"/>
        <w:keepNext/>
        <w:keepLines/>
      </w:pPr>
      <w:r>
        <w:rPr>
          <w:rFonts w:ascii="Segoe UI Light" w:hAnsi="Segoe UI Light"/>
          <w:b/>
          <w:color w:val="2D5A8E"/>
          <w:sz w:val="22"/>
        </w:rPr>
        <w:t>A5 – Methodology and How to Read These Tables</w:t>
      </w:r>
      <w:bookmarkEnd w:id="23"/>
    </w:p>
    <w:p>
      <w:pPr>
        <w:keepNext/>
        <w:keepLines/>
        <w:spacing w:after="120"/>
      </w:pPr>
      <w:r>
        <w:rPr>
          <w:rFonts w:ascii="Segoe UI Light" w:hAnsi="Segoe UI Light"/>
          <w:sz w:val="21"/>
        </w:rPr>
        <w:t>These are estimates from the supplied model. No response-fitting record is available in this export. A sector label alone does not establish a survey source or representative sector observations. The recorded information does not establish a measured baseline for this workplace.</w:t>
      </w:r>
    </w:p>
    <w:p>
      <w:pPr>
        <w:keepNext/>
        <w:keepLines/>
        <w:spacing w:after="120"/>
      </w:pPr>
      <w:r>
        <w:rPr>
          <w:rFonts w:ascii="Segoe UI Light" w:hAnsi="Segoe UI Light"/>
          <w:sz w:val="21"/>
        </w:rPr>
        <w:t>Factors use the state labels recorded in the supplied model; they need not all use the same scale. Scenarios are hypothetical planning comparisons, not promises of achievable change or proof of causation. Changing one factor can also change related factors. Percentages describe the selected state; percentage points describe differences. A summed outcome score is a comparison score, not a percentage of workers.</w:t>
      </w:r>
    </w:p>
    <w:p>
      <w:pPr>
        <w:keepNext/>
        <w:keepLines/>
        <w:spacing w:after="120"/>
      </w:pPr>
      <w:r>
        <w:rPr>
          <w:rFonts w:ascii="Segoe UI Light" w:hAnsi="Segoe UI Light"/>
          <w:sz w:val="21"/>
        </w:rPr>
        <w:t>Numerical uncertainty ranges are not available. Consider answer coverage, the model's source and worker consultation when deciding what to do. Use Data Analytics to explore other factors and scenarios.</w:t>
      </w:r>
    </w:p>
    <w:p>
      <w:pPr>
        <w:keepLines/>
        <w:spacing w:after="120"/>
      </w:pPr>
      <w:r>
        <w:rPr>
          <w:rFonts w:ascii="Segoe UI Light" w:hAnsi="Segoe UI Light"/>
          <w:sz w:val="21"/>
        </w:rPr>
        <w:t>Displayed values are rounded. Complete distributions may not total exactly 100%, and changes or summed scores may differ slightly from calculations using the displayed figures.</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Segoe UI Light" w:hAnsi="Segoe UI Light"/>
        <w:color w:val="94A3B8"/>
        <w:sz w:val="16"/>
      </w:rPr>
      <w:t xml:space="preserve">Test Org  ·  </w:t>
    </w:r>
    <w:r>
      <w:rPr>
        <w:rFonts w:ascii="Segoe UI Light" w:hAnsi="Segoe UI Light"/>
        <w:color w:val="94A3B8"/>
        <w:sz w:val="16"/>
      </w:rPr>
      <w:t xml:space="preserve">Page </w:t>
    </w:r>
    <w:r>
      <w:rPr>
        <w:rFonts w:ascii="Segoe UI Light" w:hAnsi="Segoe UI Light"/>
        <w:color w:val="94A3B8"/>
        <w:sz w:val="16"/>
      </w:rPr>
      <w:fldChar w:fldCharType="begin"/>
    </w:r>
    <w:r>
      <w:rPr>
        <w:rFonts w:ascii="Segoe UI Light" w:hAnsi="Segoe UI Light"/>
        <w:color w:val="94A3B8"/>
        <w:sz w:val="16"/>
      </w:rPr>
      <w:instrText xml:space="preserve"> PAGE </w:instrText>
    </w:r>
    <w:r>
      <w:rPr>
        <w:rFonts w:ascii="Segoe UI Light" w:hAnsi="Segoe UI Light"/>
        <w:color w:val="94A3B8"/>
        <w:sz w:val="16"/>
      </w:rPr>
      <w:fldChar w:fldCharType="end"/>
    </w:r>
    <w:r>
      <w:rPr>
        <w:rFonts w:ascii="Segoe UI Light" w:hAnsi="Segoe UI Light"/>
        <w:color w:val="94A3B8"/>
        <w:sz w:val="16"/>
      </w:rPr>
      <w:t xml:space="preserve">  ·  Prior Work  ·  priorwork.au  ·  © 2026 Prior Work. Released under CC BY-NC-SA 4.0.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pPr>
    <w:rPr>
      <w:rFonts w:ascii="Segoe UI Light" w:hAnsi="Segoe UI Light"/>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Segoe UI Light" w:hAnsi="Segoe UI Light"/>
      <w:b/>
      <w:bCs/>
      <w:color w:val="1E3A5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Segoe UI Light" w:hAnsi="Segoe UI Light"/>
      <w:b/>
      <w:bCs/>
      <w:color w:val="2D5A8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after="120"/>
      <w:ind w:left="340" w:right="227"/>
    </w:pPr>
    <w:rPr>
      <w:rFonts w:ascii="Segoe UI Light" w:hAnsi="Segoe UI Light"/>
      <w:i w:val="0"/>
      <w:iCs/>
      <w:color w:val="1F2937"/>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