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rPr>
          <w:rFonts w:ascii="Segoe UI Light" w:hAnsi="Segoe UI Light"/>
          <w:b/>
          <w:color w:val="1E3A5F"/>
          <w:sz w:val="44"/>
        </w:rPr>
        <w:t>Consultation Guide</w:t>
      </w:r>
    </w:p>
    <w:p>
      <w:pPr>
        <w:spacing w:before="80"/>
        <w:jc w:val="center"/>
      </w:pPr>
      <w:r>
        <w:rPr>
          <w:rFonts w:ascii="Segoe UI Light" w:hAnsi="Segoe UI Light"/>
          <w:color w:val="2D5A8E"/>
          <w:sz w:val="24"/>
        </w:rPr>
        <w:t>Follow-up focus group &amp; team check-in guide</w:t>
      </w:r>
    </w:p>
    <w:p>
      <w:pPr>
        <w:spacing w:before="240"/>
        <w:jc w:val="center"/>
      </w:pPr>
      <w:r>
        <w:rPr>
          <w:rFonts w:ascii="Segoe UI Light" w:hAnsi="Segoe UI Light"/>
          <w:color w:val="2D5A8E"/>
          <w:sz w:val="28"/>
        </w:rPr>
        <w:t>Test Org</w:t>
      </w:r>
    </w:p>
    <w:p>
      <w:pPr>
        <w:spacing w:before="400"/>
        <w:jc w:val="center"/>
      </w:pPr>
      <w:r>
        <w:rPr>
          <w:rFonts w:ascii="Segoe UI Light" w:hAnsi="Segoe UI Light"/>
          <w:color w:val="94A3B8"/>
          <w:sz w:val="18"/>
        </w:rPr>
        <w:t>Prepared by: Pat Egan · Date: 25/09/2026</w:t>
      </w:r>
    </w:p>
    <w:p>
      <w:r>
        <w:br w:type="page"/>
      </w:r>
    </w:p>
    <w:p>
      <w:pPr>
        <w:pStyle w:val="Heading1"/>
      </w:pPr>
      <w:r>
        <w:rPr>
          <w:rFonts w:ascii="Segoe UI Light" w:hAnsi="Segoe UI Light"/>
          <w:b/>
          <w:color w:val="1E3A5F"/>
          <w:sz w:val="28"/>
        </w:rPr>
        <w:t>Consultation Guide: Working Conditions at Test Org</w:t>
      </w:r>
    </w:p>
    <w:p>
      <w:pPr>
        <w:spacing w:after="120"/>
      </w:pPr>
      <w:r>
        <w:rPr>
          <w:rFonts w:ascii="Segoe UI Light" w:hAnsi="Segoe UI Light"/>
          <w:sz w:val="21"/>
        </w:rPr>
        <w:t>This guide helps facilitators run consultation sessions with Test Org workers about five working conditions that the recent psychosocial risk report identified as useful places to start. The report used a general workforce model, not measurements taken at Test Org. The model has no record of being fitted to Test Org responses and no prediction check. Its figures are hypothetical estimates of what would happen if every worker experienced a particular condition. They show where to look, not what is happening here.</w:t>
      </w:r>
    </w:p>
    <w:p>
      <w:pPr>
        <w:spacing w:after="120"/>
      </w:pPr>
      <w:r>
        <w:rPr>
          <w:rFonts w:ascii="Segoe UI Light" w:hAnsi="Segoe UI Light"/>
          <w:sz w:val="21"/>
        </w:rPr>
        <w:t>These sessions can help clarify:</w:t>
      </w:r>
    </w:p>
    <w:p>
      <w:pPr>
        <w:pStyle w:val="ListBullet"/>
        <w:spacing w:after="60"/>
      </w:pPr>
      <w:r>
        <w:rPr>
          <w:rFonts w:ascii="Segoe UI Light" w:hAnsi="Segoe UI Light"/>
          <w:sz w:val="21"/>
        </w:rPr>
        <w:t>whether each condition is present at Test Org</w:t>
      </w:r>
    </w:p>
    <w:p>
      <w:pPr>
        <w:pStyle w:val="ListBullet"/>
        <w:spacing w:after="60"/>
      </w:pPr>
      <w:r>
        <w:rPr>
          <w:rFonts w:ascii="Segoe UI Light" w:hAnsi="Segoe UI Light"/>
          <w:sz w:val="21"/>
        </w:rPr>
        <w:t>where it is concentrated</w:t>
      </w:r>
    </w:p>
    <w:p>
      <w:pPr>
        <w:pStyle w:val="ListBullet"/>
        <w:spacing w:after="60"/>
      </w:pPr>
      <w:r>
        <w:rPr>
          <w:rFonts w:ascii="Segoe UI Light" w:hAnsi="Segoe UI Light"/>
          <w:sz w:val="21"/>
        </w:rPr>
        <w:t>what workers see as contributing to it</w:t>
      </w:r>
    </w:p>
    <w:p>
      <w:pPr>
        <w:pStyle w:val="ListBullet"/>
        <w:spacing w:after="60"/>
      </w:pPr>
      <w:r>
        <w:rPr>
          <w:rFonts w:ascii="Segoe UI Light" w:hAnsi="Segoe UI Light"/>
          <w:sz w:val="21"/>
        </w:rPr>
        <w:t>what already helps</w:t>
      </w:r>
    </w:p>
    <w:p>
      <w:pPr>
        <w:pStyle w:val="Heading2"/>
      </w:pPr>
      <w:r>
        <w:rPr>
          <w:rFonts w:ascii="Segoe UI Light" w:hAnsi="Segoe UI Light"/>
          <w:b/>
          <w:color w:val="2D5A8E"/>
          <w:sz w:val="22"/>
        </w:rPr>
        <w:t>For the working group: arrangements to establish</w:t>
      </w:r>
    </w:p>
    <w:p>
      <w:pPr>
        <w:pStyle w:val="Heading3"/>
      </w:pPr>
      <w:r>
        <w:rPr>
          <w:rFonts w:ascii="Segoe UI Light" w:hAnsi="Segoe UI Light"/>
          <w:b/>
          <w:color w:val="2D5A8E"/>
          <w:sz w:val="21"/>
        </w:rPr>
        <w:t>Group arrangements</w:t>
      </w:r>
    </w:p>
    <w:p>
      <w:pPr>
        <w:pStyle w:val="ListBullet"/>
        <w:spacing w:after="60"/>
      </w:pPr>
      <w:r>
        <w:rPr>
          <w:rFonts w:ascii="Segoe UI Light" w:hAnsi="Segoe UI Light"/>
          <w:sz w:val="21"/>
        </w:rPr>
        <w:t>Hold sessions of about 6–10 workers, grouped by work area or role type so patterns can be seen.</w:t>
      </w:r>
    </w:p>
    <w:p>
      <w:pPr>
        <w:pStyle w:val="ListBullet"/>
        <w:spacing w:after="60"/>
      </w:pPr>
      <w:r>
        <w:rPr>
          <w:rFonts w:ascii="Segoe UI Light" w:hAnsi="Segoe UI Light"/>
          <w:sz w:val="21"/>
        </w:rPr>
        <w:t>Run sessions without participants' line managers present. Use a facilitator from outside the reporting line where possible.</w:t>
      </w:r>
    </w:p>
    <w:p>
      <w:pPr>
        <w:pStyle w:val="ListBullet"/>
        <w:spacing w:after="60"/>
      </w:pPr>
      <w:r>
        <w:rPr>
          <w:rFonts w:ascii="Segoe UI Light" w:hAnsi="Segoe UI Light"/>
          <w:sz w:val="21"/>
        </w:rPr>
        <w:t>Allow about 90 minutes to cover all five topics, or run two 45-minute sessions.</w:t>
      </w:r>
    </w:p>
    <w:p>
      <w:pPr>
        <w:pStyle w:val="ListBullet"/>
        <w:spacing w:after="60"/>
      </w:pPr>
      <w:r>
        <w:rPr>
          <w:rFonts w:ascii="Segoe UI Light" w:hAnsi="Segoe UI Light"/>
          <w:sz w:val="21"/>
        </w:rPr>
        <w:t>Consider separate sessions for roles with frequent emotionally demanding contact.</w:t>
      </w:r>
    </w:p>
    <w:p>
      <w:pPr>
        <w:pStyle w:val="ListBullet"/>
        <w:spacing w:after="60"/>
      </w:pPr>
      <w:r>
        <w:rPr>
          <w:rFonts w:ascii="Segoe UI Light" w:hAnsi="Segoe UI Light"/>
          <w:sz w:val="21"/>
        </w:rPr>
        <w:t>Offer another way to contribute, such as a one-on-one conversation or written input, for workers who prefer not to speak in a group.</w:t>
      </w:r>
    </w:p>
    <w:p>
      <w:pPr>
        <w:pStyle w:val="Heading3"/>
      </w:pPr>
      <w:r>
        <w:rPr>
          <w:rFonts w:ascii="Segoe UI Light" w:hAnsi="Segoe UI Light"/>
          <w:b/>
          <w:color w:val="2D5A8E"/>
          <w:sz w:val="21"/>
        </w:rPr>
        <w:t>Use of contributions and confidentiality</w:t>
      </w:r>
    </w:p>
    <w:p>
      <w:pPr>
        <w:spacing w:after="120"/>
      </w:pPr>
      <w:r>
        <w:rPr>
          <w:rFonts w:ascii="Segoe UI Light" w:hAnsi="Segoe UI Light"/>
          <w:sz w:val="21"/>
        </w:rPr>
        <w:t>Agree these points before sessions start, then explain them at the beginning of each session:</w:t>
      </w:r>
    </w:p>
    <w:p>
      <w:pPr>
        <w:pStyle w:val="ListBullet"/>
        <w:spacing w:after="60"/>
      </w:pPr>
      <w:r>
        <w:rPr>
          <w:rFonts w:ascii="Segoe UI Light" w:hAnsi="Segoe UI Light"/>
          <w:sz w:val="21"/>
        </w:rPr>
        <w:t>how notes will be taken, and that names will not be recorded</w:t>
      </w:r>
    </w:p>
    <w:p>
      <w:pPr>
        <w:pStyle w:val="ListBullet"/>
        <w:spacing w:after="60"/>
      </w:pPr>
      <w:r>
        <w:rPr>
          <w:rFonts w:ascii="Segoe UI Light" w:hAnsi="Segoe UI Light"/>
          <w:sz w:val="21"/>
        </w:rPr>
        <w:t>who will see the summary and how it will inform decisions</w:t>
      </w:r>
    </w:p>
    <w:p>
      <w:pPr>
        <w:pStyle w:val="ListBullet"/>
        <w:spacing w:after="60"/>
      </w:pPr>
      <w:r>
        <w:rPr>
          <w:rFonts w:ascii="Segoe UI Light" w:hAnsi="Segoe UI Light"/>
          <w:sz w:val="21"/>
        </w:rPr>
        <w:t>the minimum group size for reporting, so individuals cannot be identified</w:t>
      </w:r>
    </w:p>
    <w:p>
      <w:pPr>
        <w:pStyle w:val="ListBullet"/>
        <w:spacing w:after="60"/>
      </w:pPr>
      <w:r>
        <w:rPr>
          <w:rFonts w:ascii="Segoe UI Light" w:hAnsi="Segoe UI Light"/>
          <w:sz w:val="21"/>
        </w:rPr>
        <w:t>the limits of confidentiality: serious risks to someone's safety, or reports of harassment, bullying, violence or discrimination, may need to be passed on through an agreed pathway</w:t>
      </w:r>
    </w:p>
    <w:p>
      <w:pPr>
        <w:pStyle w:val="ListBullet"/>
        <w:spacing w:after="60"/>
      </w:pPr>
      <w:r>
        <w:rPr>
          <w:rFonts w:ascii="Segoe UI Light" w:hAnsi="Segoe UI Light"/>
          <w:sz w:val="21"/>
        </w:rPr>
        <w:t>when and how participants will hear what happened as a result</w:t>
      </w:r>
    </w:p>
    <w:p>
      <w:pPr>
        <w:pStyle w:val="Heading3"/>
      </w:pPr>
      <w:r>
        <w:rPr>
          <w:rFonts w:ascii="Segoe UI Light" w:hAnsi="Segoe UI Light"/>
          <w:b/>
          <w:color w:val="2D5A8E"/>
          <w:sz w:val="21"/>
        </w:rPr>
        <w:t>Psychological safety</w:t>
      </w:r>
    </w:p>
    <w:p>
      <w:pPr>
        <w:pStyle w:val="ListBullet"/>
        <w:spacing w:after="60"/>
      </w:pPr>
      <w:r>
        <w:rPr>
          <w:rFonts w:ascii="Segoe UI Light" w:hAnsi="Segoe UI Light"/>
          <w:sz w:val="21"/>
        </w:rPr>
        <w:t>Agree simple ground rules together, for example: talk about how work is set up, not about named individuals, and don't repeat what others said outside the room.</w:t>
      </w:r>
    </w:p>
    <w:p>
      <w:pPr>
        <w:pStyle w:val="ListBullet"/>
        <w:spacing w:after="60"/>
      </w:pPr>
      <w:r>
        <w:rPr>
          <w:rFonts w:ascii="Segoe UI Light" w:hAnsi="Segoe UI Light"/>
          <w:sz w:val="21"/>
        </w:rPr>
        <w:t>Make clear that taking part, or choosing not to answer, will not affect anyone's employment.</w:t>
      </w:r>
    </w:p>
    <w:p>
      <w:pPr>
        <w:pStyle w:val="ListBullet"/>
        <w:spacing w:after="60"/>
      </w:pPr>
      <w:r>
        <w:rPr>
          <w:rFonts w:ascii="Segoe UI Light" w:hAnsi="Segoe UI Light"/>
          <w:sz w:val="21"/>
        </w:rPr>
        <w:t>Accept all experiences without debating them.</w:t>
      </w:r>
    </w:p>
    <w:p>
      <w:pPr>
        <w:pStyle w:val="Heading3"/>
      </w:pPr>
      <w:r>
        <w:rPr>
          <w:rFonts w:ascii="Segoe UI Light" w:hAnsi="Segoe UI Light"/>
          <w:b/>
          <w:color w:val="2D5A8E"/>
          <w:sz w:val="21"/>
        </w:rPr>
        <w:t>Concerns needing prompt action</w:t>
      </w:r>
    </w:p>
    <w:p>
      <w:pPr>
        <w:pStyle w:val="ListBullet"/>
        <w:spacing w:after="60"/>
      </w:pPr>
      <w:r>
        <w:rPr>
          <w:rFonts w:ascii="Segoe UI Light" w:hAnsi="Segoe UI Light"/>
          <w:sz w:val="21"/>
        </w:rPr>
        <w:t>Name a person the facilitator contacts the same day about serious concerns, and agree the steps that follow.</w:t>
      </w:r>
    </w:p>
    <w:p>
      <w:pPr>
        <w:pStyle w:val="ListBullet"/>
        <w:spacing w:after="60"/>
      </w:pPr>
      <w:r>
        <w:rPr>
          <w:rFonts w:ascii="Segoe UI Light" w:hAnsi="Segoe UI Light"/>
          <w:sz w:val="21"/>
        </w:rPr>
        <w:t>Have details of any support services the organisation offers ready to share.</w:t>
      </w:r>
    </w:p>
    <w:p>
      <w:pPr>
        <w:pStyle w:val="ListBullet"/>
        <w:spacing w:after="60"/>
      </w:pPr>
      <w:r>
        <w:rPr>
          <w:rFonts w:ascii="Segoe UI Light" w:hAnsi="Segoe UI Light"/>
          <w:sz w:val="21"/>
        </w:rPr>
        <w:t>Harassment, bullying, violence and discrimination go straight to the agreed reporting pathway. They are never weighed against other priorities.</w:t>
      </w:r>
    </w:p>
    <w:p>
      <w:pPr>
        <w:pStyle w:val="ListBullet"/>
        <w:spacing w:after="60"/>
      </w:pPr>
      <w:r>
        <w:rPr>
          <w:rFonts w:ascii="Segoe UI Light" w:hAnsi="Segoe UI Light"/>
          <w:sz w:val="21"/>
        </w:rPr>
        <w:t>Where harmful conditions are identified, such as sustained excessive hours or distressing contact without support, practical protections should not wait for longer-term redesign. Examples include reallocating work, limiting overtime or adding resources.</w:t>
      </w:r>
    </w:p>
    <w:p>
      <w:pPr>
        <w:pStyle w:val="Heading2"/>
      </w:pPr>
      <w:r>
        <w:rPr>
          <w:rFonts w:ascii="Segoe UI Light" w:hAnsi="Segoe UI Light"/>
          <w:b/>
          <w:color w:val="2D5A8E"/>
          <w:sz w:val="22"/>
        </w:rPr>
        <w:t>Opening the session (suggested words)</w:t>
      </w:r>
    </w:p>
    <w:p>
      <w:pPr>
        <w:pStyle w:val="Quote"/>
      </w:pPr>
      <w:r>
        <w:rPr>
          <w:rFonts w:ascii="Segoe UI Light" w:hAnsi="Segoe UI Light"/>
          <w:sz w:val="21"/>
        </w:rPr>
        <w:t>"Thanks for coming. We're here to understand how work is organised and supported, so the organisation can fix what's making work harder and keep what's working. There are no right answers. Here's how notes will be used and what happens next…"</w:t>
      </w:r>
    </w:p>
    <w:p>
      <w:pPr>
        <w:pStyle w:val="Heading2"/>
      </w:pPr>
      <w:r>
        <w:rPr>
          <w:rFonts w:ascii="Segoe UI Light" w:hAnsi="Segoe UI Light"/>
          <w:b/>
          <w:color w:val="2D5A8E"/>
          <w:sz w:val="22"/>
        </w:rPr>
        <w:t>Topic 1: Role Overload</w:t>
      </w:r>
    </w:p>
    <w:p>
      <w:pPr>
        <w:spacing w:after="120"/>
      </w:pPr>
      <w:r>
        <w:rPr>
          <w:rFonts w:ascii="Segoe UI Light" w:hAnsi="Segoe UI Light"/>
          <w:b/>
          <w:sz w:val="21"/>
        </w:rPr>
        <w:t>Role Overload</w:t>
      </w:r>
      <w:r>
        <w:rPr>
          <w:rFonts w:ascii="Segoe UI Light" w:hAnsi="Segoe UI Light"/>
          <w:sz w:val="21"/>
        </w:rPr>
        <w:t xml:space="preserve"> means the amount, pace or time pressure of work being more than a person can reasonably manage. In the model, low overload for all workers was estimated to reduce the high </w:t>
      </w:r>
      <w:r>
        <w:rPr>
          <w:rFonts w:ascii="Segoe UI Light" w:hAnsi="Segoe UI Light"/>
          <w:b/>
          <w:sz w:val="21"/>
        </w:rPr>
        <w:t>Burnout</w:t>
      </w:r>
      <w:r>
        <w:rPr>
          <w:rFonts w:ascii="Segoe UI Light" w:hAnsi="Segoe UI Light"/>
          <w:sz w:val="21"/>
        </w:rPr>
        <w:t xml:space="preserve"> category by about 15 percentage points. It also produced a slight dip in engagement.</w:t>
      </w:r>
    </w:p>
    <w:p>
      <w:pPr>
        <w:spacing w:after="120"/>
      </w:pPr>
      <w:r>
        <w:rPr>
          <w:rFonts w:ascii="Segoe UI Light" w:hAnsi="Segoe UI Light"/>
          <w:b/>
          <w:sz w:val="21"/>
        </w:rPr>
        <w:t>Questions:</w:t>
      </w:r>
    </w:p>
    <w:p>
      <w:pPr>
        <w:pStyle w:val="ListBullet"/>
        <w:spacing w:after="60"/>
      </w:pPr>
      <w:r>
        <w:rPr>
          <w:rFonts w:ascii="Segoe UI Light" w:hAnsi="Segoe UI Light"/>
          <w:sz w:val="21"/>
        </w:rPr>
        <w:t>"What does a typical week look like for your workload?"</w:t>
      </w:r>
    </w:p>
    <w:p>
      <w:pPr>
        <w:pStyle w:val="ListBullet"/>
        <w:spacing w:after="60"/>
      </w:pPr>
      <w:r>
        <w:rPr>
          <w:rFonts w:ascii="Segoe UI Light" w:hAnsi="Segoe UI Light"/>
          <w:sz w:val="21"/>
        </w:rPr>
        <w:t>"When does the amount of work feel manageable, and when doesn't it?"</w:t>
      </w:r>
    </w:p>
    <w:p>
      <w:pPr>
        <w:pStyle w:val="ListBullet"/>
        <w:spacing w:after="60"/>
      </w:pPr>
      <w:r>
        <w:rPr>
          <w:rFonts w:ascii="Segoe UI Light" w:hAnsi="Segoe UI Light"/>
          <w:sz w:val="21"/>
        </w:rPr>
        <w:t>"What tends to make the biggest difference either way?"</w:t>
      </w:r>
    </w:p>
    <w:p>
      <w:pPr>
        <w:pStyle w:val="ListBullet"/>
        <w:spacing w:after="60"/>
      </w:pPr>
      <w:r>
        <w:rPr>
          <w:rFonts w:ascii="Segoe UI Light" w:hAnsi="Segoe UI Light"/>
          <w:sz w:val="21"/>
        </w:rPr>
        <w:t>"If some work were reduced, what should stay because it's valuable or interesting?"</w:t>
      </w:r>
    </w:p>
    <w:p>
      <w:pPr>
        <w:spacing w:after="120"/>
      </w:pPr>
      <w:r>
        <w:rPr>
          <w:rFonts w:ascii="Segoe UI Light" w:hAnsi="Segoe UI Light"/>
          <w:b/>
          <w:sz w:val="21"/>
        </w:rPr>
        <w:t>What helps the decision:</w:t>
      </w:r>
      <w:r>
        <w:rPr>
          <w:rFonts w:ascii="Segoe UI Light" w:hAnsi="Segoe UI Light"/>
          <w:sz w:val="21"/>
        </w:rPr>
        <w:t xml:space="preserve"> whether pressure is concentrated in some teams or widespread. The answers also show which parts of work could be reduced without losing challenging, meaningful tasks, and whether changes would shift work onto others.</w:t>
      </w:r>
    </w:p>
    <w:p>
      <w:pPr>
        <w:pStyle w:val="Heading2"/>
      </w:pPr>
      <w:r>
        <w:rPr>
          <w:rFonts w:ascii="Segoe UI Light" w:hAnsi="Segoe UI Light"/>
          <w:b/>
          <w:color w:val="2D5A8E"/>
          <w:sz w:val="22"/>
        </w:rPr>
        <w:t>Topic 2: Meaningful Work</w:t>
      </w:r>
    </w:p>
    <w:p>
      <w:pPr>
        <w:spacing w:after="120"/>
      </w:pPr>
      <w:r>
        <w:rPr>
          <w:rFonts w:ascii="Segoe UI Light" w:hAnsi="Segoe UI Light"/>
          <w:b/>
          <w:sz w:val="21"/>
        </w:rPr>
        <w:t>Meaningful Work</w:t>
      </w:r>
      <w:r>
        <w:rPr>
          <w:rFonts w:ascii="Segoe UI Light" w:hAnsi="Segoe UI Light"/>
          <w:sz w:val="21"/>
        </w:rPr>
        <w:t xml:space="preserve"> is the sense that your work is worthwhile and contributes to something that matters. In the model, high </w:t>
      </w:r>
      <w:r>
        <w:rPr>
          <w:rFonts w:ascii="Segoe UI Light" w:hAnsi="Segoe UI Light"/>
          <w:b/>
          <w:sz w:val="21"/>
        </w:rPr>
        <w:t>Meaningful Work</w:t>
      </w:r>
      <w:r>
        <w:rPr>
          <w:rFonts w:ascii="Segoe UI Light" w:hAnsi="Segoe UI Light"/>
          <w:sz w:val="21"/>
        </w:rPr>
        <w:t xml:space="preserve"> for all workers was estimated to raise the high </w:t>
      </w:r>
      <w:r>
        <w:rPr>
          <w:rFonts w:ascii="Segoe UI Light" w:hAnsi="Segoe UI Light"/>
          <w:b/>
          <w:sz w:val="21"/>
        </w:rPr>
        <w:t>Work Engagement</w:t>
      </w:r>
      <w:r>
        <w:rPr>
          <w:rFonts w:ascii="Segoe UI Light" w:hAnsi="Segoe UI Light"/>
          <w:sz w:val="21"/>
        </w:rPr>
        <w:t xml:space="preserve"> category by about 12 percentage points. The model suggests it is relatively favourable for many workers.</w:t>
      </w:r>
    </w:p>
    <w:p>
      <w:pPr>
        <w:spacing w:after="120"/>
      </w:pPr>
      <w:r>
        <w:rPr>
          <w:rFonts w:ascii="Segoe UI Light" w:hAnsi="Segoe UI Light"/>
          <w:b/>
          <w:sz w:val="21"/>
        </w:rPr>
        <w:t>Questions:</w:t>
      </w:r>
    </w:p>
    <w:p>
      <w:pPr>
        <w:pStyle w:val="ListBullet"/>
        <w:spacing w:after="60"/>
      </w:pPr>
      <w:r>
        <w:rPr>
          <w:rFonts w:ascii="Segoe UI Light" w:hAnsi="Segoe UI Light"/>
          <w:sz w:val="21"/>
        </w:rPr>
        <w:t>"Which parts of your work feel most worthwhile to you?"</w:t>
      </w:r>
    </w:p>
    <w:p>
      <w:pPr>
        <w:pStyle w:val="ListBullet"/>
        <w:spacing w:after="60"/>
      </w:pPr>
      <w:r>
        <w:rPr>
          <w:rFonts w:ascii="Segoe UI Light" w:hAnsi="Segoe UI Light"/>
          <w:sz w:val="21"/>
        </w:rPr>
        <w:t>"How clear is it how your work contributes to what the organisation does?"</w:t>
      </w:r>
    </w:p>
    <w:p>
      <w:pPr>
        <w:pStyle w:val="ListBullet"/>
        <w:spacing w:after="60"/>
      </w:pPr>
      <w:r>
        <w:rPr>
          <w:rFonts w:ascii="Segoe UI Light" w:hAnsi="Segoe UI Light"/>
          <w:sz w:val="21"/>
        </w:rPr>
        <w:t>"Has anything changed recently that affects this, in either direction?"</w:t>
      </w:r>
    </w:p>
    <w:p>
      <w:pPr>
        <w:spacing w:after="120"/>
      </w:pPr>
      <w:r>
        <w:rPr>
          <w:rFonts w:ascii="Segoe UI Light" w:hAnsi="Segoe UI Light"/>
          <w:b/>
          <w:sz w:val="21"/>
        </w:rPr>
        <w:t>What helps the decision:</w:t>
      </w:r>
      <w:r>
        <w:rPr>
          <w:rFonts w:ascii="Segoe UI Light" w:hAnsi="Segoe UI Light"/>
          <w:sz w:val="21"/>
        </w:rPr>
        <w:t xml:space="preserve"> what should be protected during workload or organisational changes, and where meaning may have eroded.</w:t>
      </w:r>
    </w:p>
    <w:p>
      <w:pPr>
        <w:pStyle w:val="Heading2"/>
      </w:pPr>
      <w:r>
        <w:rPr>
          <w:rFonts w:ascii="Segoe UI Light" w:hAnsi="Segoe UI Light"/>
          <w:b/>
          <w:color w:val="2D5A8E"/>
          <w:sz w:val="22"/>
        </w:rPr>
        <w:t>Topic 3: Work Life Conflict</w:t>
      </w:r>
    </w:p>
    <w:p>
      <w:pPr>
        <w:spacing w:after="120"/>
      </w:pPr>
      <w:r>
        <w:rPr>
          <w:rFonts w:ascii="Segoe UI Light" w:hAnsi="Segoe UI Light"/>
          <w:b/>
          <w:sz w:val="21"/>
        </w:rPr>
        <w:t>Work Life Conflict</w:t>
      </w:r>
      <w:r>
        <w:rPr>
          <w:rFonts w:ascii="Segoe UI Light" w:hAnsi="Segoe UI Light"/>
          <w:sz w:val="21"/>
        </w:rPr>
        <w:t xml:space="preserve"> means work demands interfering with home life, relationships or other responsibilities. In the model, low conflict for all workers improved all three outcomes. It gave the largest reduction in the high </w:t>
      </w:r>
      <w:r>
        <w:rPr>
          <w:rFonts w:ascii="Segoe UI Light" w:hAnsi="Segoe UI Light"/>
          <w:b/>
          <w:sz w:val="21"/>
        </w:rPr>
        <w:t>Psych Distress</w:t>
      </w:r>
      <w:r>
        <w:rPr>
          <w:rFonts w:ascii="Segoe UI Light" w:hAnsi="Segoe UI Light"/>
          <w:sz w:val="21"/>
        </w:rPr>
        <w:t xml:space="preserve"> category among the five factors, about 8 percentage points.</w:t>
      </w:r>
    </w:p>
    <w:p>
      <w:pPr>
        <w:spacing w:after="120"/>
      </w:pPr>
      <w:r>
        <w:rPr>
          <w:rFonts w:ascii="Segoe UI Light" w:hAnsi="Segoe UI Light"/>
          <w:b/>
          <w:sz w:val="21"/>
        </w:rPr>
        <w:t>Questions:</w:t>
      </w:r>
    </w:p>
    <w:p>
      <w:pPr>
        <w:pStyle w:val="ListBullet"/>
        <w:spacing w:after="60"/>
      </w:pPr>
      <w:r>
        <w:rPr>
          <w:rFonts w:ascii="Segoe UI Light" w:hAnsi="Segoe UI Light"/>
          <w:sz w:val="21"/>
        </w:rPr>
        <w:t>"How well does work fit with the rest of your life at the moment?"</w:t>
      </w:r>
    </w:p>
    <w:p>
      <w:pPr>
        <w:pStyle w:val="ListBullet"/>
        <w:spacing w:after="60"/>
      </w:pPr>
      <w:r>
        <w:rPr>
          <w:rFonts w:ascii="Segoe UI Light" w:hAnsi="Segoe UI Light"/>
          <w:sz w:val="21"/>
        </w:rPr>
        <w:t>"When, if ever, does work spill into time outside work?"</w:t>
      </w:r>
    </w:p>
    <w:p>
      <w:pPr>
        <w:pStyle w:val="ListBullet"/>
        <w:spacing w:after="60"/>
      </w:pPr>
      <w:r>
        <w:rPr>
          <w:rFonts w:ascii="Segoe UI Light" w:hAnsi="Segoe UI Light"/>
          <w:sz w:val="21"/>
        </w:rPr>
        <w:t>"What makes it easier or harder to plan your life around work?"</w:t>
      </w:r>
    </w:p>
    <w:p>
      <w:pPr>
        <w:spacing w:after="120"/>
      </w:pPr>
      <w:r>
        <w:rPr>
          <w:rFonts w:ascii="Segoe UI Light" w:hAnsi="Segoe UI Light"/>
          <w:b/>
          <w:sz w:val="21"/>
        </w:rPr>
        <w:t>What helps the decision:</w:t>
      </w:r>
      <w:r>
        <w:rPr>
          <w:rFonts w:ascii="Segoe UI Light" w:hAnsi="Segoe UI Light"/>
          <w:sz w:val="21"/>
        </w:rPr>
        <w:t xml:space="preserve"> which work arrangements matter most. These might include hours, rosters, contact outside hours or something else. The answers also show whether the issue sits with local practice or with organisation-wide resourcing.</w:t>
      </w:r>
    </w:p>
    <w:p>
      <w:pPr>
        <w:pStyle w:val="Heading2"/>
      </w:pPr>
      <w:r>
        <w:rPr>
          <w:rFonts w:ascii="Segoe UI Light" w:hAnsi="Segoe UI Light"/>
          <w:b/>
          <w:color w:val="2D5A8E"/>
          <w:sz w:val="22"/>
        </w:rPr>
        <w:t>Topic 4: Recognition</w:t>
      </w:r>
    </w:p>
    <w:p>
      <w:pPr>
        <w:spacing w:after="120"/>
      </w:pPr>
      <w:r>
        <w:rPr>
          <w:rFonts w:ascii="Segoe UI Light" w:hAnsi="Segoe UI Light"/>
          <w:b/>
          <w:sz w:val="21"/>
        </w:rPr>
        <w:t>Recognition</w:t>
      </w:r>
      <w:r>
        <w:rPr>
          <w:rFonts w:ascii="Segoe UI Light" w:hAnsi="Segoe UI Light"/>
          <w:sz w:val="21"/>
        </w:rPr>
        <w:t xml:space="preserve"> means workers' efforts and contributions being acknowledged and fairly rewarded. In the model, high </w:t>
      </w:r>
      <w:r>
        <w:rPr>
          <w:rFonts w:ascii="Segoe UI Light" w:hAnsi="Segoe UI Light"/>
          <w:b/>
          <w:sz w:val="21"/>
        </w:rPr>
        <w:t>Recognition</w:t>
      </w:r>
      <w:r>
        <w:rPr>
          <w:rFonts w:ascii="Segoe UI Light" w:hAnsi="Segoe UI Light"/>
          <w:sz w:val="21"/>
        </w:rPr>
        <w:t xml:space="preserve"> for all workers was estimated to raise the high </w:t>
      </w:r>
      <w:r>
        <w:rPr>
          <w:rFonts w:ascii="Segoe UI Light" w:hAnsi="Segoe UI Light"/>
          <w:b/>
          <w:sz w:val="21"/>
        </w:rPr>
        <w:t>Work Engagement</w:t>
      </w:r>
      <w:r>
        <w:rPr>
          <w:rFonts w:ascii="Segoe UI Light" w:hAnsi="Segoe UI Light"/>
          <w:sz w:val="21"/>
        </w:rPr>
        <w:t xml:space="preserve"> category by about 11 percentage points.</w:t>
      </w:r>
    </w:p>
    <w:p>
      <w:pPr>
        <w:spacing w:after="120"/>
      </w:pPr>
      <w:r>
        <w:rPr>
          <w:rFonts w:ascii="Segoe UI Light" w:hAnsi="Segoe UI Light"/>
          <w:b/>
          <w:sz w:val="21"/>
        </w:rPr>
        <w:t>Questions:</w:t>
      </w:r>
    </w:p>
    <w:p>
      <w:pPr>
        <w:pStyle w:val="ListBullet"/>
        <w:spacing w:after="60"/>
      </w:pPr>
      <w:r>
        <w:rPr>
          <w:rFonts w:ascii="Segoe UI Light" w:hAnsi="Segoe UI Light"/>
          <w:sz w:val="21"/>
        </w:rPr>
        <w:t>"How do you find out whether your work is valued?"</w:t>
      </w:r>
    </w:p>
    <w:p>
      <w:pPr>
        <w:pStyle w:val="ListBullet"/>
        <w:spacing w:after="60"/>
      </w:pPr>
      <w:r>
        <w:rPr>
          <w:rFonts w:ascii="Segoe UI Light" w:hAnsi="Segoe UI Light"/>
          <w:sz w:val="21"/>
        </w:rPr>
        <w:t>"What's your experience of how recognition, pay and progression decisions are made?"</w:t>
      </w:r>
    </w:p>
    <w:p>
      <w:pPr>
        <w:pStyle w:val="ListBullet"/>
        <w:spacing w:after="60"/>
      </w:pPr>
      <w:r>
        <w:rPr>
          <w:rFonts w:ascii="Segoe UI Light" w:hAnsi="Segoe UI Light"/>
          <w:sz w:val="21"/>
        </w:rPr>
        <w:t>"What kind of acknowledgement, if any, makes a difference to you?"</w:t>
      </w:r>
    </w:p>
    <w:p>
      <w:pPr>
        <w:spacing w:after="120"/>
      </w:pPr>
      <w:r>
        <w:rPr>
          <w:rFonts w:ascii="Segoe UI Light" w:hAnsi="Segoe UI Light"/>
          <w:b/>
          <w:sz w:val="21"/>
        </w:rPr>
        <w:t>What helps the decision:</w:t>
      </w:r>
      <w:r>
        <w:rPr>
          <w:rFonts w:ascii="Segoe UI Light" w:hAnsi="Segoe UI Light"/>
          <w:sz w:val="21"/>
        </w:rPr>
        <w:t xml:space="preserve"> whether current practices are working and seen as fair, and where they could be strengthened or protected.</w:t>
      </w:r>
    </w:p>
    <w:p>
      <w:pPr>
        <w:pStyle w:val="Heading2"/>
      </w:pPr>
      <w:r>
        <w:rPr>
          <w:rFonts w:ascii="Segoe UI Light" w:hAnsi="Segoe UI Light"/>
          <w:b/>
          <w:color w:val="2D5A8E"/>
          <w:sz w:val="22"/>
        </w:rPr>
        <w:t>Topic 5: Emotional Demand</w:t>
      </w:r>
    </w:p>
    <w:p>
      <w:pPr>
        <w:spacing w:after="120"/>
      </w:pPr>
      <w:r>
        <w:rPr>
          <w:rFonts w:ascii="Segoe UI Light" w:hAnsi="Segoe UI Light"/>
          <w:b/>
          <w:sz w:val="21"/>
        </w:rPr>
        <w:t>Emotional Demand</w:t>
      </w:r>
      <w:r>
        <w:rPr>
          <w:rFonts w:ascii="Segoe UI Light" w:hAnsi="Segoe UI Light"/>
          <w:sz w:val="21"/>
        </w:rPr>
        <w:t xml:space="preserve"> covers emotionally demanding interactions, such as responding to others' distress or managing the emotions a role requires. In the model, low demand for all workers was estimated to reduce the high </w:t>
      </w:r>
      <w:r>
        <w:rPr>
          <w:rFonts w:ascii="Segoe UI Light" w:hAnsi="Segoe UI Light"/>
          <w:b/>
          <w:sz w:val="21"/>
        </w:rPr>
        <w:t>Burnout</w:t>
      </w:r>
      <w:r>
        <w:rPr>
          <w:rFonts w:ascii="Segoe UI Light" w:hAnsi="Segoe UI Light"/>
          <w:sz w:val="21"/>
        </w:rPr>
        <w:t xml:space="preserve"> category by about 9 percentage points.</w:t>
      </w:r>
    </w:p>
    <w:p>
      <w:pPr>
        <w:spacing w:after="120"/>
      </w:pPr>
      <w:r>
        <w:rPr>
          <w:rFonts w:ascii="Segoe UI Light" w:hAnsi="Segoe UI Light"/>
          <w:b/>
          <w:sz w:val="21"/>
        </w:rPr>
        <w:t>Questions:</w:t>
      </w:r>
    </w:p>
    <w:p>
      <w:pPr>
        <w:pStyle w:val="ListBullet"/>
        <w:spacing w:after="60"/>
      </w:pPr>
      <w:r>
        <w:rPr>
          <w:rFonts w:ascii="Segoe UI Light" w:hAnsi="Segoe UI Light"/>
          <w:sz w:val="21"/>
        </w:rPr>
        <w:t>"What kinds of interactions at work, if any, take the most out of you?"</w:t>
      </w:r>
    </w:p>
    <w:p>
      <w:pPr>
        <w:pStyle w:val="ListBullet"/>
        <w:spacing w:after="60"/>
      </w:pPr>
      <w:r>
        <w:rPr>
          <w:rFonts w:ascii="Segoe UI Light" w:hAnsi="Segoe UI Light"/>
          <w:sz w:val="21"/>
        </w:rPr>
        <w:t>"What usually happens after a difficult interaction?"</w:t>
      </w:r>
    </w:p>
    <w:p>
      <w:pPr>
        <w:pStyle w:val="ListBullet"/>
        <w:spacing w:after="60"/>
      </w:pPr>
      <w:r>
        <w:rPr>
          <w:rFonts w:ascii="Segoe UI Light" w:hAnsi="Segoe UI Light"/>
          <w:sz w:val="21"/>
        </w:rPr>
        <w:t>"What support exists, and how well does it work in practice?"</w:t>
      </w:r>
    </w:p>
    <w:p>
      <w:pPr>
        <w:spacing w:after="120"/>
      </w:pPr>
      <w:r>
        <w:rPr>
          <w:rFonts w:ascii="Segoe UI Light" w:hAnsi="Segoe UI Light"/>
          <w:b/>
          <w:sz w:val="21"/>
        </w:rPr>
        <w:t>What helps the decision:</w:t>
      </w:r>
      <w:r>
        <w:rPr>
          <w:rFonts w:ascii="Segoe UI Light" w:hAnsi="Segoe UI Light"/>
          <w:sz w:val="21"/>
        </w:rPr>
        <w:t xml:space="preserve"> which roles carry this demand, which situations are hardest, and which supports should be added or improved. Examples include debriefing, rotation and escalation paths.</w:t>
      </w:r>
    </w:p>
    <w:p>
      <w:pPr>
        <w:pStyle w:val="Heading2"/>
      </w:pPr>
      <w:r>
        <w:rPr>
          <w:rFonts w:ascii="Segoe UI Light" w:hAnsi="Segoe UI Light"/>
          <w:b/>
          <w:color w:val="2D5A8E"/>
          <w:sz w:val="22"/>
        </w:rPr>
        <w:t>After the session</w:t>
      </w:r>
    </w:p>
    <w:p>
      <w:pPr>
        <w:pStyle w:val="ListBullet"/>
        <w:spacing w:after="60"/>
      </w:pPr>
      <w:r>
        <w:rPr>
          <w:rFonts w:ascii="Segoe UI Light" w:hAnsi="Segoe UI Light"/>
          <w:sz w:val="21"/>
        </w:rPr>
        <w:t>Record themes by work area, without names.</w:t>
      </w:r>
    </w:p>
    <w:p>
      <w:pPr>
        <w:pStyle w:val="ListBullet"/>
        <w:spacing w:after="60"/>
      </w:pPr>
      <w:r>
        <w:rPr>
          <w:rFonts w:ascii="Segoe UI Light" w:hAnsi="Segoe UI Light"/>
          <w:sz w:val="21"/>
        </w:rPr>
        <w:t>Pass on urgent concerns the same day through the agreed pathway.</w:t>
      </w:r>
    </w:p>
    <w:p>
      <w:pPr>
        <w:pStyle w:val="ListBullet"/>
        <w:spacing w:after="60"/>
      </w:pPr>
      <w:r>
        <w:rPr>
          <w:rFonts w:ascii="Segoe UI Light" w:hAnsi="Segoe UI Light"/>
          <w:sz w:val="21"/>
        </w:rPr>
        <w:t>Tell participants when they will hear back.</w:t>
      </w:r>
    </w:p>
    <w:p>
      <w:pPr>
        <w:pStyle w:val="ListBullet"/>
        <w:spacing w:after="60"/>
      </w:pPr>
      <w:r>
        <w:rPr>
          <w:rFonts w:ascii="Segoe UI Light" w:hAnsi="Segoe UI Light"/>
          <w:sz w:val="21"/>
        </w:rPr>
        <w:t>Give the working group summaries to feed into the first local assessment and action planning.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