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p>
    <w:p>
      <w:pPr>
        <w:spacing w:after="0"/>
      </w:pPr>
    </w:p>
    <w:p>
      <w:pPr>
        <w:jc w:val="center"/>
      </w:pPr>
      <w:r>
        <w:rPr>
          <w:rFonts w:ascii="Segoe UI Light" w:hAnsi="Segoe UI Light"/>
          <w:b/>
          <w:color w:val="1E3A5F"/>
          <w:sz w:val="48"/>
        </w:rPr>
        <w:t>Psychosocial Risk Management Report</w:t>
      </w:r>
    </w:p>
    <w:p>
      <w:pPr>
        <w:spacing w:before="120"/>
        <w:jc w:val="center"/>
      </w:pPr>
      <w:r>
        <w:rPr>
          <w:rFonts w:ascii="Segoe UI Light" w:hAnsi="Segoe UI Light"/>
          <w:color w:val="2D5A8E"/>
          <w:sz w:val="32"/>
        </w:rPr>
        <w:t>Test Org</w:t>
      </w:r>
    </w:p>
    <w:p>
      <w:pPr>
        <w:spacing w:before="120" w:after="120"/>
        <w:pBdr>
          <w:bottom w:val="single" w:sz="4" w:space="1" w:color="E2E8F0"/>
        </w:pBdr>
      </w:pPr>
    </w:p>
    <w:p>
      <w:pPr>
        <w:spacing w:after="60"/>
        <w:jc w:val="center"/>
      </w:pPr>
      <w:r>
        <w:rPr>
          <w:rFonts w:ascii="Segoe UI Light" w:hAnsi="Segoe UI Light"/>
          <w:b/>
          <w:color w:val="64748B"/>
          <w:sz w:val="20"/>
        </w:rPr>
        <w:t xml:space="preserve">Outcome measures: </w:t>
      </w:r>
      <w:r>
        <w:rPr>
          <w:rFonts w:ascii="Segoe UI Light" w:hAnsi="Segoe UI Light"/>
          <w:color w:val="64748B"/>
          <w:sz w:val="20"/>
        </w:rPr>
        <w:t>Work Engagement  ·  Burnout  ·  Psych Distress</w:t>
      </w:r>
    </w:p>
    <w:p>
      <w:pPr>
        <w:spacing w:after="60"/>
        <w:jc w:val="center"/>
      </w:pPr>
      <w:r>
        <w:rPr>
          <w:rFonts w:ascii="Segoe UI Light" w:hAnsi="Segoe UI Light"/>
          <w:b/>
          <w:color w:val="64748B"/>
          <w:sz w:val="20"/>
        </w:rPr>
        <w:t xml:space="preserve">Organisation size: </w:t>
      </w:r>
      <w:r>
        <w:rPr>
          <w:rFonts w:ascii="Segoe UI Light" w:hAnsi="Segoe UI Light"/>
          <w:color w:val="64748B"/>
          <w:sz w:val="20"/>
        </w:rPr>
        <w:t>1,200</w:t>
      </w:r>
    </w:p>
    <w:p>
      <w:pPr>
        <w:spacing w:after="60"/>
        <w:jc w:val="center"/>
      </w:pPr>
      <w:r>
        <w:rPr>
          <w:rFonts w:ascii="Segoe UI Light" w:hAnsi="Segoe UI Light"/>
          <w:b/>
          <w:color w:val="64748B"/>
          <w:sz w:val="20"/>
        </w:rPr>
        <w:t xml:space="preserve">Date: </w:t>
      </w:r>
      <w:r>
        <w:rPr>
          <w:rFonts w:ascii="Segoe UI Light" w:hAnsi="Segoe UI Light"/>
          <w:color w:val="64748B"/>
          <w:sz w:val="20"/>
        </w:rPr>
        <w:t>25/09/2026</w:t>
      </w:r>
    </w:p>
    <w:p>
      <w:pPr>
        <w:spacing w:after="60"/>
        <w:jc w:val="center"/>
      </w:pPr>
      <w:r>
        <w:rPr>
          <w:rFonts w:ascii="Segoe UI Light" w:hAnsi="Segoe UI Light"/>
          <w:b/>
          <w:color w:val="64748B"/>
          <w:sz w:val="20"/>
        </w:rPr>
        <w:t xml:space="preserve">Prepared by: </w:t>
      </w:r>
      <w:r>
        <w:rPr>
          <w:rFonts w:ascii="Segoe UI Light" w:hAnsi="Segoe UI Light"/>
          <w:color w:val="64748B"/>
          <w:sz w:val="20"/>
        </w:rPr>
        <w:t>Pat Egan</w:t>
      </w:r>
    </w:p>
    <w:p>
      <w:pPr>
        <w:spacing w:before="120" w:after="120"/>
        <w:pBdr>
          <w:bottom w:val="single" w:sz="4" w:space="1" w:color="E2E8F0"/>
        </w:pBdr>
      </w:pPr>
    </w:p>
    <w:p>
      <w:pPr>
        <w:jc w:val="center"/>
      </w:pPr>
      <w:r>
        <w:rPr>
          <w:rFonts w:ascii="Segoe UI Light" w:hAnsi="Segoe UI Light"/>
          <w:i/>
          <w:color w:val="94A3B8"/>
          <w:sz w:val="16"/>
        </w:rPr>
        <w:t>Generated with Prior Work  ·  priorwork.au  ·  © 2026 Prior Work. Released under CC BY-NC-SA 4.0.</w:t>
      </w:r>
    </w:p>
    <w:p>
      <w:r>
        <w:br w:type="page"/>
      </w:r>
    </w:p>
    <w:p>
      <w:pPr>
        <w:spacing w:after="200"/>
      </w:pPr>
      <w:r>
        <w:rPr>
          <w:rFonts w:ascii="Segoe UI Light" w:hAnsi="Segoe UI Light"/>
          <w:b/>
          <w:color w:val="1E3A5F"/>
          <w:sz w:val="28"/>
        </w:rPr>
        <w:t>Contents</w:t>
      </w:r>
    </w:p>
    <w:p>
      <w:pPr>
        <w:spacing w:after="40"/>
      </w:pPr>
      <w:r>
        <w:fldChar w:fldCharType="begin"/>
        <w:instrText xml:space="preserve"> TOC \o "1-2" \h \z \u </w:instrText>
        <w:fldChar w:fldCharType="separate"/>
      </w:r>
    </w:p>
    <w:p>
      <w:pPr>
        <w:spacing w:after="40"/>
      </w:pPr>
      <w:hyperlink w:anchor="_PWToc0">
        <w:r>
          <w:rPr>
            <w:rFonts w:ascii="Segoe UI Light" w:hAnsi="Segoe UI Light"/>
            <w:b/>
            <w:color w:val="1E3A5F"/>
            <w:sz w:val="21"/>
          </w:rPr>
          <w:t>Executive Summary</w:t>
        </w:r>
      </w:hyperlink>
    </w:p>
    <w:p>
      <w:pPr>
        <w:spacing w:after="40"/>
      </w:pPr>
      <w:hyperlink w:anchor="_PWToc1">
        <w:r>
          <w:rPr>
            <w:rFonts w:ascii="Segoe UI Light" w:hAnsi="Segoe UI Light"/>
            <w:b/>
            <w:color w:val="1E3A5F"/>
            <w:sz w:val="21"/>
          </w:rPr>
          <w:t>Context and Approach</w:t>
        </w:r>
      </w:hyperlink>
    </w:p>
    <w:p>
      <w:pPr>
        <w:spacing w:after="40"/>
        <w:ind w:left="340"/>
      </w:pPr>
      <w:hyperlink w:anchor="_PWToc2">
        <w:r>
          <w:rPr>
            <w:rFonts w:ascii="Segoe UI Light" w:hAnsi="Segoe UI Light"/>
            <w:b w:val="0"/>
            <w:color w:val="64748B"/>
            <w:sz w:val="19"/>
          </w:rPr>
          <w:t>Where the evidence comes from</w:t>
        </w:r>
      </w:hyperlink>
    </w:p>
    <w:p>
      <w:pPr>
        <w:spacing w:after="40"/>
        <w:ind w:left="340"/>
      </w:pPr>
      <w:hyperlink w:anchor="_PWToc3">
        <w:r>
          <w:rPr>
            <w:rFonts w:ascii="Segoe UI Light" w:hAnsi="Segoe UI Light"/>
            <w:b w:val="0"/>
            <w:color w:val="64748B"/>
            <w:sz w:val="19"/>
          </w:rPr>
          <w:t>How to read the outcomes and comparisons</w:t>
        </w:r>
      </w:hyperlink>
    </w:p>
    <w:p>
      <w:pPr>
        <w:spacing w:after="40"/>
      </w:pPr>
      <w:hyperlink w:anchor="_PWToc4">
        <w:r>
          <w:rPr>
            <w:rFonts w:ascii="Segoe UI Light" w:hAnsi="Segoe UI Light"/>
            <w:b/>
            <w:color w:val="1E3A5F"/>
            <w:sz w:val="21"/>
          </w:rPr>
          <w:t>Findings and What They Mean</w:t>
        </w:r>
      </w:hyperlink>
    </w:p>
    <w:p>
      <w:pPr>
        <w:spacing w:after="40"/>
        <w:ind w:left="340"/>
      </w:pPr>
      <w:hyperlink w:anchor="_PWToc5">
        <w:r>
          <w:rPr>
            <w:rFonts w:ascii="Segoe UI Light" w:hAnsi="Segoe UI Light"/>
            <w:b w:val="0"/>
            <w:color w:val="64748B"/>
            <w:sz w:val="19"/>
          </w:rPr>
          <w:t>Where the outcomes start</w:t>
        </w:r>
      </w:hyperlink>
    </w:p>
    <w:p>
      <w:pPr>
        <w:spacing w:after="40"/>
        <w:ind w:left="340"/>
      </w:pPr>
      <w:hyperlink w:anchor="_PWToc6">
        <w:r>
          <w:rPr>
            <w:rFonts w:ascii="Segoe UI Light" w:hAnsi="Segoe UI Light"/>
            <w:b w:val="0"/>
            <w:color w:val="64748B"/>
            <w:sz w:val="19"/>
          </w:rPr>
          <w:t>Workload and work-life demands: the clearest levers for Burnout and Psych Distress</w:t>
        </w:r>
      </w:hyperlink>
    </w:p>
    <w:p>
      <w:pPr>
        <w:spacing w:after="40"/>
        <w:ind w:left="340"/>
      </w:pPr>
      <w:hyperlink w:anchor="_PWToc7">
        <w:r>
          <w:rPr>
            <w:rFonts w:ascii="Segoe UI Light" w:hAnsi="Segoe UI Light"/>
            <w:b w:val="0"/>
            <w:color w:val="64748B"/>
            <w:sz w:val="19"/>
          </w:rPr>
          <w:t>Emotional Demand: a burnout concern for some roles</w:t>
        </w:r>
      </w:hyperlink>
    </w:p>
    <w:p>
      <w:pPr>
        <w:spacing w:after="40"/>
        <w:ind w:left="340"/>
      </w:pPr>
      <w:hyperlink w:anchor="_PWToc8">
        <w:r>
          <w:rPr>
            <w:rFonts w:ascii="Segoe UI Light" w:hAnsi="Segoe UI Light"/>
            <w:b w:val="0"/>
            <w:color w:val="64748B"/>
            <w:sz w:val="19"/>
          </w:rPr>
          <w:t>Recognition and Meaningful Work: the strongest levers for engagement, and strengths to protect</w:t>
        </w:r>
      </w:hyperlink>
    </w:p>
    <w:p>
      <w:pPr>
        <w:spacing w:after="40"/>
        <w:ind w:left="340"/>
      </w:pPr>
      <w:hyperlink w:anchor="_PWToc9">
        <w:r>
          <w:rPr>
            <w:rFonts w:ascii="Segoe UI Light" w:hAnsi="Segoe UI Light"/>
            <w:b w:val="0"/>
            <w:color w:val="64748B"/>
            <w:sz w:val="19"/>
          </w:rPr>
          <w:t>Combining demand reduction with recognition and meaning</w:t>
        </w:r>
      </w:hyperlink>
    </w:p>
    <w:p>
      <w:pPr>
        <w:spacing w:after="40"/>
        <w:ind w:left="340"/>
      </w:pPr>
      <w:hyperlink w:anchor="_PWToc10">
        <w:r>
          <w:rPr>
            <w:rFonts w:ascii="Segoe UI Light" w:hAnsi="Segoe UI Light"/>
            <w:b w:val="0"/>
            <w:color w:val="64748B"/>
            <w:sz w:val="19"/>
          </w:rPr>
          <w:t>Summary of single-factor and combined comparisons</w:t>
        </w:r>
      </w:hyperlink>
    </w:p>
    <w:p>
      <w:pPr>
        <w:spacing w:after="40"/>
        <w:ind w:left="340"/>
      </w:pPr>
      <w:hyperlink w:anchor="_PWToc11">
        <w:r>
          <w:rPr>
            <w:rFonts w:ascii="Segoe UI Light" w:hAnsi="Segoe UI Light"/>
            <w:b w:val="0"/>
            <w:color w:val="64748B"/>
            <w:sz w:val="19"/>
          </w:rPr>
          <w:t>A caution about simplifying work</w:t>
        </w:r>
      </w:hyperlink>
    </w:p>
    <w:p>
      <w:pPr>
        <w:spacing w:after="40"/>
        <w:ind w:left="340"/>
      </w:pPr>
      <w:hyperlink w:anchor="_PWToc12">
        <w:r>
          <w:rPr>
            <w:rFonts w:ascii="Segoe UI Light" w:hAnsi="Segoe UI Light"/>
            <w:b w:val="0"/>
            <w:color w:val="64748B"/>
            <w:sz w:val="19"/>
          </w:rPr>
          <w:t>What remains to be established locally</w:t>
        </w:r>
      </w:hyperlink>
    </w:p>
    <w:p>
      <w:pPr>
        <w:spacing w:after="40"/>
      </w:pPr>
      <w:hyperlink w:anchor="_PWToc13">
        <w:r>
          <w:rPr>
            <w:rFonts w:ascii="Segoe UI Light" w:hAnsi="Segoe UI Light"/>
            <w:b/>
            <w:color w:val="1E3A5F"/>
            <w:sz w:val="21"/>
          </w:rPr>
          <w:t>Recommended Next Steps</w:t>
        </w:r>
      </w:hyperlink>
    </w:p>
    <w:p>
      <w:pPr>
        <w:spacing w:after="40"/>
        <w:ind w:left="340"/>
      </w:pPr>
      <w:hyperlink w:anchor="_PWToc14">
        <w:r>
          <w:rPr>
            <w:rFonts w:ascii="Segoe UI Light" w:hAnsi="Segoe UI Light"/>
            <w:b w:val="0"/>
            <w:color w:val="64748B"/>
            <w:sz w:val="19"/>
          </w:rPr>
          <w:t>1. Run a first local assessment</w:t>
        </w:r>
      </w:hyperlink>
    </w:p>
    <w:p>
      <w:pPr>
        <w:spacing w:after="40"/>
        <w:ind w:left="340"/>
      </w:pPr>
      <w:hyperlink w:anchor="_PWToc15">
        <w:r>
          <w:rPr>
            <w:rFonts w:ascii="Segoe UI Light" w:hAnsi="Segoe UI Light"/>
            <w:b w:val="0"/>
            <w:color w:val="64748B"/>
            <w:sz w:val="19"/>
          </w:rPr>
          <w:t>2. Consult workers on workload and work-life demands</w:t>
        </w:r>
      </w:hyperlink>
    </w:p>
    <w:p>
      <w:pPr>
        <w:spacing w:after="40"/>
        <w:ind w:left="340"/>
      </w:pPr>
      <w:hyperlink w:anchor="_PWToc16">
        <w:r>
          <w:rPr>
            <w:rFonts w:ascii="Segoe UI Light" w:hAnsi="Segoe UI Light"/>
            <w:b w:val="0"/>
            <w:color w:val="64748B"/>
            <w:sz w:val="19"/>
          </w:rPr>
          <w:t>3. Act promptly where harmful conditions are found</w:t>
        </w:r>
      </w:hyperlink>
    </w:p>
    <w:p>
      <w:pPr>
        <w:spacing w:after="40"/>
        <w:ind w:left="340"/>
      </w:pPr>
      <w:hyperlink w:anchor="_PWToc17">
        <w:r>
          <w:rPr>
            <w:rFonts w:ascii="Segoe UI Light" w:hAnsi="Segoe UI Light"/>
            <w:b w:val="0"/>
            <w:color w:val="64748B"/>
            <w:sz w:val="19"/>
          </w:rPr>
          <w:t>4. Identify and support roles with high emotional demand</w:t>
        </w:r>
      </w:hyperlink>
    </w:p>
    <w:p>
      <w:pPr>
        <w:spacing w:after="40"/>
        <w:ind w:left="340"/>
      </w:pPr>
      <w:hyperlink w:anchor="_PWToc18">
        <w:r>
          <w:rPr>
            <w:rFonts w:ascii="Segoe UI Light" w:hAnsi="Segoe UI Light"/>
            <w:b w:val="0"/>
            <w:color w:val="64748B"/>
            <w:sz w:val="19"/>
          </w:rPr>
          <w:t>5. Protect and strengthen recognition and meaningful work</w:t>
        </w:r>
      </w:hyperlink>
    </w:p>
    <w:p>
      <w:pPr>
        <w:spacing w:after="40"/>
        <w:ind w:left="340"/>
      </w:pPr>
      <w:hyperlink w:anchor="_PWToc19">
        <w:r>
          <w:rPr>
            <w:rFonts w:ascii="Segoe UI Light" w:hAnsi="Segoe UI Light"/>
            <w:b w:val="0"/>
            <w:color w:val="64748B"/>
            <w:sz w:val="19"/>
          </w:rPr>
          <w:t>6. Assign ownership and check progress</w:t>
        </w:r>
      </w:hyperlink>
    </w:p>
    <w:p>
      <w:pPr>
        <w:spacing w:after="40"/>
      </w:pPr>
      <w:hyperlink w:anchor="_PWToc20">
        <w:r>
          <w:rPr>
            <w:rFonts w:ascii="Segoe UI Light" w:hAnsi="Segoe UI Light"/>
            <w:b/>
            <w:color w:val="1E3A5F"/>
            <w:sz w:val="21"/>
          </w:rPr>
          <w:t>Appendix – Supporting Material</w:t>
        </w:r>
      </w:hyperlink>
    </w:p>
    <w:p>
      <w:pPr>
        <w:spacing w:after="40"/>
        <w:ind w:left="340"/>
      </w:pPr>
      <w:hyperlink w:anchor="_PWToc21">
        <w:r>
          <w:rPr>
            <w:rFonts w:ascii="Segoe UI Light" w:hAnsi="Segoe UI Light"/>
            <w:b w:val="0"/>
            <w:color w:val="64748B"/>
            <w:sz w:val="19"/>
          </w:rPr>
          <w:t>A1 – How the Factors Connect</w:t>
        </w:r>
      </w:hyperlink>
    </w:p>
    <w:p>
      <w:pPr>
        <w:spacing w:after="40"/>
        <w:ind w:left="340"/>
      </w:pPr>
      <w:hyperlink w:anchor="_PWToc22">
        <w:r>
          <w:rPr>
            <w:rFonts w:ascii="Segoe UI Light" w:hAnsi="Segoe UI Light"/>
            <w:b w:val="0"/>
            <w:color w:val="64748B"/>
            <w:sz w:val="19"/>
          </w:rPr>
          <w:t>A2 – Starting Model Estimates</w:t>
        </w:r>
      </w:hyperlink>
    </w:p>
    <w:p>
      <w:pPr>
        <w:spacing w:after="40"/>
        <w:ind w:left="340"/>
      </w:pPr>
      <w:hyperlink w:anchor="_PWToc23">
        <w:r>
          <w:rPr>
            <w:rFonts w:ascii="Segoe UI Light" w:hAnsi="Segoe UI Light"/>
            <w:b w:val="0"/>
            <w:color w:val="64748B"/>
            <w:sz w:val="19"/>
          </w:rPr>
          <w:t>A3 – Simple Scenarios: One Factor at a Time</w:t>
        </w:r>
      </w:hyperlink>
    </w:p>
    <w:p>
      <w:pPr>
        <w:spacing w:after="40"/>
        <w:ind w:left="340"/>
      </w:pPr>
      <w:hyperlink w:anchor="_PWToc24">
        <w:r>
          <w:rPr>
            <w:rFonts w:ascii="Segoe UI Light" w:hAnsi="Segoe UI Light"/>
            <w:b w:val="0"/>
            <w:color w:val="64748B"/>
            <w:sz w:val="19"/>
          </w:rPr>
          <w:t>A4 – Combined Scenarios: Factors Moved Together</w:t>
        </w:r>
      </w:hyperlink>
    </w:p>
    <w:p>
      <w:pPr>
        <w:spacing w:after="40"/>
        <w:ind w:left="340"/>
      </w:pPr>
      <w:hyperlink w:anchor="_PWToc25">
        <w:r>
          <w:rPr>
            <w:rFonts w:ascii="Segoe UI Light" w:hAnsi="Segoe UI Light"/>
            <w:b w:val="0"/>
            <w:color w:val="64748B"/>
            <w:sz w:val="19"/>
          </w:rPr>
          <w:t>A5 – Methodology and How to Read These Tables</w:t>
        </w:r>
      </w:hyperlink>
    </w:p>
    <w:p>
      <w:pPr>
        <w:spacing w:after="0"/>
      </w:pPr>
      <w:r>
        <w:fldChar w:fldCharType="end"/>
      </w:r>
    </w:p>
    <w:p>
      <w:pPr>
        <w:spacing w:before="160"/>
      </w:pPr>
      <w:r>
        <w:rPr>
          <w:rFonts w:ascii="Segoe UI Light" w:hAnsi="Segoe UI Light"/>
          <w:i/>
          <w:color w:val="94A3B8"/>
          <w:sz w:val="17"/>
        </w:rPr>
        <w:t>Entries are clickable. For page numbers, right-click the list and choose Update Field.</w:t>
      </w:r>
    </w:p>
    <w:p>
      <w:r>
        <w:br w:type="page"/>
      </w:r>
    </w:p>
    <w:p>
      <w:bookmarkStart w:id="0" w:name="_PWToc0"/>
      <w:pPr>
        <w:pStyle w:val="Heading1"/>
      </w:pPr>
      <w:r>
        <w:rPr>
          <w:rFonts w:ascii="Segoe UI Light" w:hAnsi="Segoe UI Light"/>
          <w:b/>
          <w:color w:val="1E3A5F"/>
          <w:sz w:val="28"/>
        </w:rPr>
        <w:t>Executive Summary</w:t>
      </w:r>
      <w:bookmarkEnd w:id="0"/>
    </w:p>
    <w:p>
      <w:pPr>
        <w:spacing w:after="120"/>
      </w:pPr>
      <w:r>
        <w:rPr>
          <w:rFonts w:ascii="Segoe UI Light" w:hAnsi="Segoe UI Light"/>
          <w:sz w:val="21"/>
        </w:rPr>
        <w:t>This report helps Test Org's senior leaders decide where to focus effort to manage psychosocial risks for about 1,200 workers. The figures come from a general workforce model with no record of being fitted to Test Org responses and no prediction check. They show where to look first, not measured local conditions. Comparisons are hypothetical scenarios in which every worker experiences a given condition.</w:t>
      </w:r>
    </w:p>
    <w:p>
      <w:pPr>
        <w:spacing w:after="120"/>
      </w:pPr>
      <w:r>
        <w:rPr>
          <w:rFonts w:ascii="Segoe UI Light" w:hAnsi="Segoe UI Light"/>
          <w:b/>
          <w:sz w:val="21"/>
        </w:rPr>
        <w:t>Main findings</w:t>
      </w:r>
    </w:p>
    <w:p>
      <w:pPr>
        <w:pStyle w:val="ListBullet"/>
        <w:spacing w:after="60"/>
      </w:pPr>
      <w:r>
        <w:rPr>
          <w:rFonts w:ascii="Segoe UI Light" w:hAnsi="Segoe UI Light"/>
          <w:b/>
          <w:sz w:val="21"/>
        </w:rPr>
        <w:t>Role Overload</w:t>
      </w:r>
      <w:r>
        <w:rPr>
          <w:rFonts w:ascii="Segoe UI Light" w:hAnsi="Segoe UI Light"/>
          <w:sz w:val="21"/>
        </w:rPr>
        <w:t xml:space="preserve">: low overload for all workers reduces the high </w:t>
      </w:r>
      <w:r>
        <w:rPr>
          <w:rFonts w:ascii="Segoe UI Light" w:hAnsi="Segoe UI Light"/>
          <w:b/>
          <w:sz w:val="21"/>
        </w:rPr>
        <w:t>Burnout</w:t>
      </w:r>
      <w:r>
        <w:rPr>
          <w:rFonts w:ascii="Segoe UI Light" w:hAnsi="Segoe UI Light"/>
          <w:sz w:val="21"/>
        </w:rPr>
        <w:t xml:space="preserve"> category by about 15 percentage points, from 25.5% to 10.1%. High </w:t>
      </w:r>
      <w:r>
        <w:rPr>
          <w:rFonts w:ascii="Segoe UI Light" w:hAnsi="Segoe UI Light"/>
          <w:b/>
          <w:sz w:val="21"/>
        </w:rPr>
        <w:t>Psych Distress</w:t>
      </w:r>
      <w:r>
        <w:rPr>
          <w:rFonts w:ascii="Segoe UI Light" w:hAnsi="Segoe UI Light"/>
          <w:sz w:val="21"/>
        </w:rPr>
        <w:t xml:space="preserve"> falls by about 7 points, with a slight dip in </w:t>
      </w:r>
      <w:r>
        <w:rPr>
          <w:rFonts w:ascii="Segoe UI Light" w:hAnsi="Segoe UI Light"/>
          <w:b/>
          <w:sz w:val="21"/>
        </w:rPr>
        <w:t>Work Engagement</w:t>
      </w:r>
      <w:r>
        <w:rPr>
          <w:rFonts w:ascii="Segoe UI Light" w:hAnsi="Segoe UI Light"/>
          <w:sz w:val="21"/>
        </w:rPr>
        <w:t>.</w:t>
      </w:r>
    </w:p>
    <w:p>
      <w:pPr>
        <w:pStyle w:val="ListBullet"/>
        <w:spacing w:after="60"/>
      </w:pPr>
      <w:r>
        <w:rPr>
          <w:rFonts w:ascii="Segoe UI Light" w:hAnsi="Segoe UI Light"/>
          <w:b/>
          <w:sz w:val="21"/>
        </w:rPr>
        <w:t>Work Life Conflict</w:t>
      </w:r>
      <w:r>
        <w:rPr>
          <w:rFonts w:ascii="Segoe UI Light" w:hAnsi="Segoe UI Light"/>
          <w:sz w:val="21"/>
        </w:rPr>
        <w:t xml:space="preserve">: low conflict improves all three outcomes. It gives the largest reduction in high </w:t>
      </w:r>
      <w:r>
        <w:rPr>
          <w:rFonts w:ascii="Segoe UI Light" w:hAnsi="Segoe UI Light"/>
          <w:b/>
          <w:sz w:val="21"/>
        </w:rPr>
        <w:t>Psych Distress</w:t>
      </w:r>
      <w:r>
        <w:rPr>
          <w:rFonts w:ascii="Segoe UI Light" w:hAnsi="Segoe UI Light"/>
          <w:sz w:val="21"/>
        </w:rPr>
        <w:t xml:space="preserve"> among the focus factors, about 8 points.</w:t>
      </w:r>
    </w:p>
    <w:p>
      <w:pPr>
        <w:pStyle w:val="ListBullet"/>
        <w:spacing w:after="60"/>
      </w:pPr>
      <w:r>
        <w:rPr>
          <w:rFonts w:ascii="Segoe UI Light" w:hAnsi="Segoe UI Light"/>
          <w:b/>
          <w:sz w:val="21"/>
        </w:rPr>
        <w:t>Emotional Demand</w:t>
      </w:r>
      <w:r>
        <w:rPr>
          <w:rFonts w:ascii="Segoe UI Light" w:hAnsi="Segoe UI Light"/>
          <w:sz w:val="21"/>
        </w:rPr>
        <w:t xml:space="preserve">: low demand reduces high </w:t>
      </w:r>
      <w:r>
        <w:rPr>
          <w:rFonts w:ascii="Segoe UI Light" w:hAnsi="Segoe UI Light"/>
          <w:b/>
          <w:sz w:val="21"/>
        </w:rPr>
        <w:t>Burnout</w:t>
      </w:r>
      <w:r>
        <w:rPr>
          <w:rFonts w:ascii="Segoe UI Light" w:hAnsi="Segoe UI Light"/>
          <w:sz w:val="21"/>
        </w:rPr>
        <w:t xml:space="preserve"> by about 9 points.</w:t>
      </w:r>
    </w:p>
    <w:p>
      <w:pPr>
        <w:pStyle w:val="ListBullet"/>
        <w:spacing w:after="60"/>
      </w:pPr>
      <w:r>
        <w:rPr>
          <w:rFonts w:ascii="Segoe UI Light" w:hAnsi="Segoe UI Light"/>
          <w:b/>
          <w:sz w:val="21"/>
        </w:rPr>
        <w:t>Meaningful Work</w:t>
      </w:r>
      <w:r>
        <w:rPr>
          <w:rFonts w:ascii="Segoe UI Light" w:hAnsi="Segoe UI Light"/>
          <w:sz w:val="21"/>
        </w:rPr>
        <w:t xml:space="preserve"> and </w:t>
      </w:r>
      <w:r>
        <w:rPr>
          <w:rFonts w:ascii="Segoe UI Light" w:hAnsi="Segoe UI Light"/>
          <w:b/>
          <w:sz w:val="21"/>
        </w:rPr>
        <w:t>Recognition</w:t>
      </w:r>
      <w:r>
        <w:rPr>
          <w:rFonts w:ascii="Segoe UI Light" w:hAnsi="Segoe UI Light"/>
          <w:sz w:val="21"/>
        </w:rPr>
        <w:t xml:space="preserve">: high levels raise high </w:t>
      </w:r>
      <w:r>
        <w:rPr>
          <w:rFonts w:ascii="Segoe UI Light" w:hAnsi="Segoe UI Light"/>
          <w:b/>
          <w:sz w:val="21"/>
        </w:rPr>
        <w:t>Work Engagement</w:t>
      </w:r>
      <w:r>
        <w:rPr>
          <w:rFonts w:ascii="Segoe UI Light" w:hAnsi="Segoe UI Light"/>
          <w:sz w:val="21"/>
        </w:rPr>
        <w:t xml:space="preserve"> by about 12 and 11 points. Both appear relatively favourable in the model and are worth protecting.</w:t>
      </w:r>
    </w:p>
    <w:p>
      <w:pPr>
        <w:pStyle w:val="ListBullet"/>
        <w:spacing w:after="60"/>
      </w:pPr>
      <w:r>
        <w:rPr>
          <w:rFonts w:ascii="Segoe UI Light" w:hAnsi="Segoe UI Light"/>
          <w:b/>
          <w:sz w:val="21"/>
        </w:rPr>
        <w:t>Combined changes</w:t>
      </w:r>
      <w:r>
        <w:rPr>
          <w:rFonts w:ascii="Segoe UI Light" w:hAnsi="Segoe UI Light"/>
          <w:sz w:val="21"/>
        </w:rPr>
        <w:t xml:space="preserve">: reducing workload while strengthening recognition and meaning reduces high </w:t>
      </w:r>
      <w:r>
        <w:rPr>
          <w:rFonts w:ascii="Segoe UI Light" w:hAnsi="Segoe UI Light"/>
          <w:b/>
          <w:sz w:val="21"/>
        </w:rPr>
        <w:t>Burnout</w:t>
      </w:r>
      <w:r>
        <w:rPr>
          <w:rFonts w:ascii="Segoe UI Light" w:hAnsi="Segoe UI Light"/>
          <w:sz w:val="21"/>
        </w:rPr>
        <w:t xml:space="preserve"> by about 20 points and raises high </w:t>
      </w:r>
      <w:r>
        <w:rPr>
          <w:rFonts w:ascii="Segoe UI Light" w:hAnsi="Segoe UI Light"/>
          <w:b/>
          <w:sz w:val="21"/>
        </w:rPr>
        <w:t>Work Engagement</w:t>
      </w:r>
      <w:r>
        <w:rPr>
          <w:rFonts w:ascii="Segoe UI Light" w:hAnsi="Segoe UI Light"/>
          <w:sz w:val="21"/>
        </w:rPr>
        <w:t xml:space="preserve"> by about 22 points.</w:t>
      </w:r>
    </w:p>
    <w:p>
      <w:pPr>
        <w:pStyle w:val="ListBullet"/>
        <w:spacing w:after="60"/>
      </w:pPr>
      <w:r>
        <w:rPr>
          <w:rFonts w:ascii="Segoe UI Light" w:hAnsi="Segoe UI Light"/>
          <w:b/>
          <w:sz w:val="21"/>
        </w:rPr>
        <w:t>Caution</w:t>
      </w:r>
      <w:r>
        <w:rPr>
          <w:rFonts w:ascii="Segoe UI Light" w:hAnsi="Segoe UI Light"/>
          <w:sz w:val="21"/>
        </w:rPr>
        <w:t>: removing complex, challenging work may lower engagement.</w:t>
      </w:r>
    </w:p>
    <w:p>
      <w:pPr>
        <w:spacing w:after="120"/>
      </w:pPr>
      <w:r>
        <w:rPr>
          <w:rFonts w:ascii="Segoe UI Light" w:hAnsi="Segoe UI Light"/>
          <w:b/>
          <w:sz w:val="21"/>
        </w:rPr>
        <w:t>Next decisions</w:t>
      </w:r>
    </w:p>
    <w:p>
      <w:pPr>
        <w:pStyle w:val="ListNumber"/>
        <w:numPr>
          <w:ilvl w:val="0"/>
          <w:numId w:val="10"/>
        </w:numPr>
        <w:spacing w:after="60"/>
      </w:pPr>
      <w:r>
        <w:rPr>
          <w:rFonts w:ascii="Segoe UI Light" w:hAnsi="Segoe UI Light"/>
          <w:sz w:val="21"/>
        </w:rPr>
        <w:t>Commission a first local assessment of these five factors and three outcomes.</w:t>
      </w:r>
    </w:p>
    <w:p>
      <w:pPr>
        <w:pStyle w:val="ListNumber"/>
        <w:numPr>
          <w:ilvl w:val="0"/>
          <w:numId w:val="10"/>
        </w:numPr>
        <w:spacing w:after="60"/>
      </w:pPr>
      <w:r>
        <w:rPr>
          <w:rFonts w:ascii="Segoe UI Light" w:hAnsi="Segoe UI Light"/>
          <w:sz w:val="21"/>
        </w:rPr>
        <w:t>Consult workers on workload, work-life demands and emotionally demanding roles.</w:t>
      </w:r>
    </w:p>
    <w:p>
      <w:pPr>
        <w:pStyle w:val="ListNumber"/>
        <w:numPr>
          <w:ilvl w:val="0"/>
          <w:numId w:val="10"/>
        </w:numPr>
        <w:spacing w:after="60"/>
      </w:pPr>
      <w:r>
        <w:rPr>
          <w:rFonts w:ascii="Segoe UI Light" w:hAnsi="Segoe UI Light"/>
          <w:sz w:val="21"/>
        </w:rPr>
        <w:t>Act promptly on any harmful conditions found.</w:t>
      </w:r>
    </w:p>
    <w:p>
      <w:pPr>
        <w:pStyle w:val="ListNumber"/>
        <w:numPr>
          <w:ilvl w:val="0"/>
          <w:numId w:val="10"/>
        </w:numPr>
        <w:spacing w:after="60"/>
      </w:pPr>
      <w:r>
        <w:rPr>
          <w:rFonts w:ascii="Segoe UI Light" w:hAnsi="Segoe UI Light"/>
          <w:sz w:val="21"/>
        </w:rPr>
        <w:t>Protect recognition and meaningful work during change.</w:t>
      </w:r>
    </w:p>
    <w:p>
      <w:pPr>
        <w:pStyle w:val="ListNumber"/>
        <w:numPr>
          <w:ilvl w:val="0"/>
          <w:numId w:val="10"/>
        </w:numPr>
        <w:spacing w:after="60"/>
      </w:pPr>
      <w:r>
        <w:rPr>
          <w:rFonts w:ascii="Segoe UI Light" w:hAnsi="Segoe UI Light"/>
          <w:sz w:val="21"/>
        </w:rPr>
        <w:t>Assign owners and use pulse follow-ups against the new baseline.</w:t>
      </w:r>
    </w:p>
    <w:p>
      <w:pPr>
        <w:spacing w:after="120"/>
      </w:pPr>
      <w:r>
        <w:rPr>
          <w:rFonts w:ascii="Segoe UI Light" w:hAnsi="Segoe UI Light"/>
          <w:sz w:val="21"/>
        </w:rPr>
        <w:t>Other factors can be explored in Data Analytics at priorwork.au.</w:t>
      </w:r>
    </w:p>
    <w:p>
      <w:r>
        <w:br w:type="page"/>
      </w:r>
    </w:p>
    <w:p>
      <w:bookmarkStart w:id="1" w:name="_PWToc1"/>
      <w:pPr>
        <w:pStyle w:val="Heading1"/>
      </w:pPr>
      <w:r>
        <w:rPr>
          <w:rFonts w:ascii="Segoe UI Light" w:hAnsi="Segoe UI Light"/>
          <w:b/>
          <w:color w:val="1E3A5F"/>
          <w:sz w:val="28"/>
        </w:rPr>
        <w:t>Context and Approach</w:t>
      </w:r>
      <w:bookmarkEnd w:id="1"/>
    </w:p>
    <w:p>
      <w:pPr>
        <w:spacing w:after="120"/>
      </w:pPr>
      <w:r>
        <w:rPr>
          <w:rFonts w:ascii="Segoe UI Light" w:hAnsi="Segoe UI Light"/>
          <w:sz w:val="21"/>
        </w:rPr>
        <w:t>This report is intended to help the senior leaders of Test Org, an organisation of about 1,200 workers, decide where to focus effort in managing psychosocial risks and strengthening the working conditions that support worker wellbeing and engagement. It was prepared on 25/09/2026. No specific report scope, workforce breakdown, existing initiatives or risk register entries were supplied, so the report addresses the organisation as a whole.</w:t>
      </w:r>
    </w:p>
    <w:p>
      <w:bookmarkStart w:id="2" w:name="_PWToc2"/>
      <w:pPr>
        <w:pStyle w:val="Heading2"/>
      </w:pPr>
      <w:r>
        <w:rPr>
          <w:rFonts w:ascii="Segoe UI Light" w:hAnsi="Segoe UI Light"/>
          <w:b/>
          <w:color w:val="2D5A8E"/>
          <w:sz w:val="22"/>
        </w:rPr>
        <w:t>Where the evidence comes from</w:t>
      </w:r>
      <w:bookmarkEnd w:id="2"/>
    </w:p>
    <w:p>
      <w:pPr>
        <w:spacing w:after="120"/>
      </w:pPr>
      <w:r>
        <w:rPr>
          <w:rFonts w:ascii="Segoe UI Light" w:hAnsi="Segoe UI Light"/>
          <w:sz w:val="21"/>
        </w:rPr>
        <w:t>The figures come from a general model called "General Australian Workforce", labelled as covering the general workforce. There is no record that this model was fitted to responses from Test Org workers, and its source is otherwise unrecorded. The figures therefore show what the model estimates for a general workforce. They are not measurements of conditions at Test Org. No prediction check is available, so there is no evidence about how closely the model matches real responses. The figures are single estimates without uncertainty ranges. They should be treated as a guide to where to look first, not as local findings.</w:t>
      </w:r>
    </w:p>
    <w:p>
      <w:bookmarkStart w:id="3" w:name="_PWToc3"/>
      <w:pPr>
        <w:pStyle w:val="Heading2"/>
      </w:pPr>
      <w:r>
        <w:rPr>
          <w:rFonts w:ascii="Segoe UI Light" w:hAnsi="Segoe UI Light"/>
          <w:b/>
          <w:color w:val="2D5A8E"/>
          <w:sz w:val="22"/>
        </w:rPr>
        <w:t>How to read the outcomes and comparisons</w:t>
      </w:r>
      <w:bookmarkEnd w:id="3"/>
    </w:p>
    <w:p>
      <w:pPr>
        <w:spacing w:after="120"/>
      </w:pPr>
      <w:r>
        <w:rPr>
          <w:rFonts w:ascii="Segoe UI Light" w:hAnsi="Segoe UI Light"/>
          <w:sz w:val="21"/>
        </w:rPr>
        <w:t>The report covers three outcomes, each divided into high, middle and low categories:</w:t>
      </w:r>
    </w:p>
    <w:p>
      <w:pPr>
        <w:pStyle w:val="ListBullet"/>
        <w:spacing w:after="60"/>
      </w:pPr>
      <w:r>
        <w:rPr>
          <w:rFonts w:ascii="Segoe UI Light" w:hAnsi="Segoe UI Light"/>
          <w:b/>
          <w:sz w:val="21"/>
        </w:rPr>
        <w:t>Work Engagement</w:t>
      </w:r>
      <w:r>
        <w:rPr>
          <w:rFonts w:ascii="Segoe UI Light" w:hAnsi="Segoe UI Light"/>
          <w:sz w:val="21"/>
        </w:rPr>
        <w:t>: high is favourable and low is adverse.</w:t>
      </w:r>
    </w:p>
    <w:p>
      <w:pPr>
        <w:pStyle w:val="ListBullet"/>
        <w:spacing w:after="60"/>
      </w:pPr>
      <w:r>
        <w:rPr>
          <w:rFonts w:ascii="Segoe UI Light" w:hAnsi="Segoe UI Light"/>
          <w:b/>
          <w:sz w:val="21"/>
        </w:rPr>
        <w:t>Burnout</w:t>
      </w:r>
      <w:r>
        <w:rPr>
          <w:rFonts w:ascii="Segoe UI Light" w:hAnsi="Segoe UI Light"/>
          <w:sz w:val="21"/>
        </w:rPr>
        <w:t xml:space="preserve"> and </w:t>
      </w:r>
      <w:r>
        <w:rPr>
          <w:rFonts w:ascii="Segoe UI Light" w:hAnsi="Segoe UI Light"/>
          <w:b/>
          <w:sz w:val="21"/>
        </w:rPr>
        <w:t>Psych Distress</w:t>
      </w:r>
      <w:r>
        <w:rPr>
          <w:rFonts w:ascii="Segoe UI Light" w:hAnsi="Segoe UI Light"/>
          <w:sz w:val="21"/>
        </w:rPr>
        <w:t>: high is adverse and low is favourable.</w:t>
      </w:r>
    </w:p>
    <w:p>
      <w:pPr>
        <w:spacing w:after="120"/>
      </w:pPr>
      <w:r>
        <w:rPr>
          <w:rFonts w:ascii="Segoe UI Light" w:hAnsi="Segoe UI Light"/>
          <w:sz w:val="21"/>
        </w:rPr>
        <w:t xml:space="preserve">The middle categories have no further definition, so the report does not interpret them. The high categories for </w:t>
      </w:r>
      <w:r>
        <w:rPr>
          <w:rFonts w:ascii="Segoe UI Light" w:hAnsi="Segoe UI Light"/>
          <w:b/>
          <w:sz w:val="21"/>
        </w:rPr>
        <w:t>Burnout</w:t>
      </w:r>
      <w:r>
        <w:rPr>
          <w:rFonts w:ascii="Segoe UI Light" w:hAnsi="Segoe UI Light"/>
          <w:sz w:val="21"/>
        </w:rPr>
        <w:t xml:space="preserve"> and </w:t>
      </w:r>
      <w:r>
        <w:rPr>
          <w:rFonts w:ascii="Segoe UI Light" w:hAnsi="Segoe UI Light"/>
          <w:b/>
          <w:sz w:val="21"/>
        </w:rPr>
        <w:t>Psych Distress</w:t>
      </w:r>
      <w:r>
        <w:rPr>
          <w:rFonts w:ascii="Segoe UI Light" w:hAnsi="Segoe UI Light"/>
          <w:sz w:val="21"/>
        </w:rPr>
        <w:t xml:space="preserve"> are the model's own categories. They are not clinical diagnoses or measures of a worker's risk of developing a condition.</w:t>
      </w:r>
    </w:p>
    <w:p>
      <w:pPr>
        <w:spacing w:after="120"/>
      </w:pPr>
      <w:r>
        <w:rPr>
          <w:rFonts w:ascii="Segoe UI Light" w:hAnsi="Segoe UI Light"/>
          <w:sz w:val="21"/>
        </w:rPr>
        <w:t xml:space="preserve">Most findings are "what-if" comparisons. The model estimates the share of workers in each outcome category if every worker experienced a particular state of a factor, such as low </w:t>
      </w:r>
      <w:r>
        <w:rPr>
          <w:rFonts w:ascii="Segoe UI Light" w:hAnsi="Segoe UI Light"/>
          <w:b/>
          <w:sz w:val="21"/>
        </w:rPr>
        <w:t>Role Overload</w:t>
      </w:r>
      <w:r>
        <w:rPr>
          <w:rFonts w:ascii="Segoe UI Light" w:hAnsi="Segoe UI Light"/>
          <w:sz w:val="21"/>
        </w:rPr>
        <w:t>. It then compares that share with the model's starting estimate. Differences are given in percentage points. These comparisons are hypothetical. They are not reports of what workers experienced, and they do not predict what any particular control would achieve, because real changes rarely shift every worker fully.</w:t>
      </w:r>
    </w:p>
    <w:p>
      <w:pPr>
        <w:spacing w:after="120"/>
      </w:pPr>
      <w:r>
        <w:rPr>
          <w:rFonts w:ascii="Segoe UI Light" w:hAnsi="Segoe UI Light"/>
          <w:sz w:val="21"/>
        </w:rPr>
        <w:t xml:space="preserve">The Diagnostics view in Data Analytics works in the opposite direction. It starts from an outcome of concern, such as low </w:t>
      </w:r>
      <w:r>
        <w:rPr>
          <w:rFonts w:ascii="Segoe UI Light" w:hAnsi="Segoe UI Light"/>
          <w:b/>
          <w:sz w:val="21"/>
        </w:rPr>
        <w:t>Work Engagement</w:t>
      </w:r>
      <w:r>
        <w:rPr>
          <w:rFonts w:ascii="Segoe UI Light" w:hAnsi="Segoe UI Light"/>
          <w:sz w:val="21"/>
        </w:rPr>
        <w:t>, and estimates which working conditions are more common among workers in that state. This helps leaders choose questions for investigation and consultation. It does not show causes or rank controls.</w:t>
      </w:r>
    </w:p>
    <w:p>
      <w:pPr>
        <w:spacing w:after="120"/>
      </w:pPr>
      <w:r>
        <w:rPr>
          <w:rFonts w:ascii="Segoe UI Light" w:hAnsi="Segoe UI Light"/>
          <w:sz w:val="21"/>
        </w:rPr>
        <w:t xml:space="preserve">This report is a starting point. It focuses on the five workplace factors most useful for the next decision: </w:t>
      </w:r>
      <w:r>
        <w:rPr>
          <w:rFonts w:ascii="Segoe UI Light" w:hAnsi="Segoe UI Light"/>
          <w:b/>
          <w:sz w:val="21"/>
        </w:rPr>
        <w:t>Role Overload</w:t>
      </w:r>
      <w:r>
        <w:rPr>
          <w:rFonts w:ascii="Segoe UI Light" w:hAnsi="Segoe UI Light"/>
          <w:sz w:val="21"/>
        </w:rPr>
        <w:t xml:space="preserve">, </w:t>
      </w:r>
      <w:r>
        <w:rPr>
          <w:rFonts w:ascii="Segoe UI Light" w:hAnsi="Segoe UI Light"/>
          <w:b/>
          <w:sz w:val="21"/>
        </w:rPr>
        <w:t>Work Life Conflict</w:t>
      </w:r>
      <w:r>
        <w:rPr>
          <w:rFonts w:ascii="Segoe UI Light" w:hAnsi="Segoe UI Light"/>
          <w:sz w:val="21"/>
        </w:rPr>
        <w:t xml:space="preserve">, </w:t>
      </w:r>
      <w:r>
        <w:rPr>
          <w:rFonts w:ascii="Segoe UI Light" w:hAnsi="Segoe UI Light"/>
          <w:b/>
          <w:sz w:val="21"/>
        </w:rPr>
        <w:t>Emotional Demand</w:t>
      </w:r>
      <w:r>
        <w:rPr>
          <w:rFonts w:ascii="Segoe UI Light" w:hAnsi="Segoe UI Light"/>
          <w:sz w:val="21"/>
        </w:rPr>
        <w:t xml:space="preserve">, </w:t>
      </w:r>
      <w:r>
        <w:rPr>
          <w:rFonts w:ascii="Segoe UI Light" w:hAnsi="Segoe UI Light"/>
          <w:b/>
          <w:sz w:val="21"/>
        </w:rPr>
        <w:t>Recognition</w:t>
      </w:r>
      <w:r>
        <w:rPr>
          <w:rFonts w:ascii="Segoe UI Light" w:hAnsi="Segoe UI Light"/>
          <w:sz w:val="21"/>
        </w:rPr>
        <w:t xml:space="preserve"> and </w:t>
      </w:r>
      <w:r>
        <w:rPr>
          <w:rFonts w:ascii="Segoe UI Light" w:hAnsi="Segoe UI Light"/>
          <w:b/>
          <w:sz w:val="21"/>
        </w:rPr>
        <w:t>Meaningful Work</w:t>
      </w:r>
      <w:r>
        <w:rPr>
          <w:rFonts w:ascii="Segoe UI Light" w:hAnsi="Segoe UI Light"/>
          <w:sz w:val="21"/>
        </w:rPr>
        <w:t>. Other factors can be explored in Data Analytics at priorwork.au. The Word export is planned to include a model overview and a note on interpretation. Detailed supporting tables are optional, and controls are handled in a separate editable worksheet.</w:t>
      </w:r>
    </w:p>
    <w:p>
      <w:bookmarkStart w:id="4" w:name="_PWToc4"/>
      <w:pPr>
        <w:pStyle w:val="Heading1"/>
      </w:pPr>
      <w:r>
        <w:rPr>
          <w:rFonts w:ascii="Segoe UI Light" w:hAnsi="Segoe UI Light"/>
          <w:b/>
          <w:color w:val="1E3A5F"/>
          <w:sz w:val="28"/>
        </w:rPr>
        <w:t>Findings and What They Mean</w:t>
      </w:r>
      <w:bookmarkEnd w:id="4"/>
    </w:p>
    <w:p>
      <w:bookmarkStart w:id="5" w:name="_PWToc5"/>
      <w:pPr>
        <w:pStyle w:val="Heading2"/>
      </w:pPr>
      <w:r>
        <w:rPr>
          <w:rFonts w:ascii="Segoe UI Light" w:hAnsi="Segoe UI Light"/>
          <w:b/>
          <w:color w:val="2D5A8E"/>
          <w:sz w:val="22"/>
        </w:rPr>
        <w:t>Where the outcomes start</w:t>
      </w:r>
      <w:bookmarkEnd w:id="5"/>
    </w:p>
    <w:p>
      <w:pPr>
        <w:spacing w:after="120"/>
      </w:pPr>
      <w:r>
        <w:rPr>
          <w:rFonts w:ascii="Segoe UI Light" w:hAnsi="Segoe UI Light"/>
          <w:sz w:val="21"/>
        </w:rPr>
        <w:t>The model's starting estimates for the three outcomes are:</w:t>
      </w:r>
    </w:p>
    <w:p>
      <w:pPr>
        <w:pStyle w:val="ListBullet"/>
        <w:spacing w:after="60"/>
      </w:pPr>
      <w:r>
        <w:rPr>
          <w:rFonts w:ascii="Segoe UI Light" w:hAnsi="Segoe UI Light"/>
          <w:b/>
          <w:sz w:val="21"/>
        </w:rPr>
        <w:t>Burnout</w:t>
      </w:r>
      <w:r>
        <w:rPr>
          <w:rFonts w:ascii="Segoe UI Light" w:hAnsi="Segoe UI Light"/>
          <w:sz w:val="21"/>
        </w:rPr>
        <w:t>: about 26% of workers in the high category and about 33% in the low category.</w:t>
      </w:r>
    </w:p>
    <w:p>
      <w:pPr>
        <w:pStyle w:val="ListBullet"/>
        <w:spacing w:after="60"/>
      </w:pPr>
      <w:r>
        <w:rPr>
          <w:rFonts w:ascii="Segoe UI Light" w:hAnsi="Segoe UI Light"/>
          <w:b/>
          <w:sz w:val="21"/>
        </w:rPr>
        <w:t>Psych Distress</w:t>
      </w:r>
      <w:r>
        <w:rPr>
          <w:rFonts w:ascii="Segoe UI Light" w:hAnsi="Segoe UI Light"/>
          <w:sz w:val="21"/>
        </w:rPr>
        <w:t>: about 18% in the high category and about 45% in the low category.</w:t>
      </w:r>
    </w:p>
    <w:p>
      <w:pPr>
        <w:pStyle w:val="ListBullet"/>
        <w:spacing w:after="60"/>
      </w:pPr>
      <w:r>
        <w:rPr>
          <w:rFonts w:ascii="Segoe UI Light" w:hAnsi="Segoe UI Light"/>
          <w:b/>
          <w:sz w:val="21"/>
        </w:rPr>
        <w:t>Work Engagement</w:t>
      </w:r>
      <w:r>
        <w:rPr>
          <w:rFonts w:ascii="Segoe UI Light" w:hAnsi="Segoe UI Light"/>
          <w:sz w:val="21"/>
        </w:rPr>
        <w:t>: about 34% in the high category and about 18% in the low category.</w:t>
      </w:r>
    </w:p>
    <w:p>
      <w:pPr>
        <w:spacing w:after="120"/>
      </w:pPr>
      <w:r>
        <w:rPr>
          <w:rFonts w:ascii="Segoe UI Light" w:hAnsi="Segoe UI Light"/>
          <w:sz w:val="21"/>
        </w:rPr>
        <w:t>These are general-model estimates. A local assessment would be needed to confirm whether Test Org sits above or below these levels.</w:t>
      </w:r>
    </w:p>
    <w:p>
      <w:bookmarkStart w:id="6" w:name="_PWToc6"/>
      <w:pPr>
        <w:pStyle w:val="Heading2"/>
      </w:pPr>
      <w:r>
        <w:rPr>
          <w:rFonts w:ascii="Segoe UI Light" w:hAnsi="Segoe UI Light"/>
          <w:b/>
          <w:color w:val="2D5A8E"/>
          <w:sz w:val="22"/>
        </w:rPr>
        <w:t>Workload and work-life demands: the clearest levers for Burnout and Psych Distress</w:t>
      </w:r>
      <w:bookmarkEnd w:id="6"/>
    </w:p>
    <w:p>
      <w:pPr>
        <w:spacing w:after="120"/>
      </w:pPr>
      <w:r>
        <w:rPr>
          <w:rFonts w:ascii="Segoe UI Light" w:hAnsi="Segoe UI Light"/>
          <w:b/>
          <w:sz w:val="21"/>
        </w:rPr>
        <w:t>Role Overload</w:t>
      </w:r>
      <w:r>
        <w:rPr>
          <w:rFonts w:ascii="Segoe UI Light" w:hAnsi="Segoe UI Light"/>
          <w:sz w:val="21"/>
        </w:rPr>
        <w:t xml:space="preserve"> is the amount, pace or time pressure of work exceeding what a person can reasonably manage. It shows the largest estimated effect on </w:t>
      </w:r>
      <w:r>
        <w:rPr>
          <w:rFonts w:ascii="Segoe UI Light" w:hAnsi="Segoe UI Light"/>
          <w:b/>
          <w:sz w:val="21"/>
        </w:rPr>
        <w:t>Burnout</w:t>
      </w:r>
      <w:r>
        <w:rPr>
          <w:rFonts w:ascii="Segoe UI Light" w:hAnsi="Segoe UI Light"/>
          <w:sz w:val="21"/>
        </w:rPr>
        <w:t xml:space="preserve"> of any focus factor. If all workers experienced low </w:t>
      </w:r>
      <w:r>
        <w:rPr>
          <w:rFonts w:ascii="Segoe UI Light" w:hAnsi="Segoe UI Light"/>
          <w:b/>
          <w:sz w:val="21"/>
        </w:rPr>
        <w:t>Role Overload</w:t>
      </w:r>
      <w:r>
        <w:rPr>
          <w:rFonts w:ascii="Segoe UI Light" w:hAnsi="Segoe UI Light"/>
          <w:sz w:val="21"/>
        </w:rPr>
        <w:t xml:space="preserve">, the high </w:t>
      </w:r>
      <w:r>
        <w:rPr>
          <w:rFonts w:ascii="Segoe UI Light" w:hAnsi="Segoe UI Light"/>
          <w:b/>
          <w:sz w:val="21"/>
        </w:rPr>
        <w:t>Burnout</w:t>
      </w:r>
      <w:r>
        <w:rPr>
          <w:rFonts w:ascii="Segoe UI Light" w:hAnsi="Segoe UI Light"/>
          <w:sz w:val="21"/>
        </w:rPr>
        <w:t xml:space="preserve"> category would fall by about 15 percentage points, from 25.5% to 10.1%. The high </w:t>
      </w:r>
      <w:r>
        <w:rPr>
          <w:rFonts w:ascii="Segoe UI Light" w:hAnsi="Segoe UI Light"/>
          <w:b/>
          <w:sz w:val="21"/>
        </w:rPr>
        <w:t>Psych Distress</w:t>
      </w:r>
      <w:r>
        <w:rPr>
          <w:rFonts w:ascii="Segoe UI Light" w:hAnsi="Segoe UI Light"/>
          <w:sz w:val="21"/>
        </w:rPr>
        <w:t xml:space="preserve"> category would fall by about 7 percentage points, from about 18% to about 11%.</w:t>
      </w:r>
    </w:p>
    <w:p>
      <w:pPr>
        <w:spacing w:after="120"/>
      </w:pPr>
      <w:r>
        <w:rPr>
          <w:rFonts w:ascii="Segoe UI Light" w:hAnsi="Segoe UI Light"/>
          <w:sz w:val="21"/>
        </w:rPr>
        <w:t xml:space="preserve">There is a small trade-off. In the same scenario, the low </w:t>
      </w:r>
      <w:r>
        <w:rPr>
          <w:rFonts w:ascii="Segoe UI Light" w:hAnsi="Segoe UI Light"/>
          <w:b/>
          <w:sz w:val="21"/>
        </w:rPr>
        <w:t>Work Engagement</w:t>
      </w:r>
      <w:r>
        <w:rPr>
          <w:rFonts w:ascii="Segoe UI Light" w:hAnsi="Segoe UI Light"/>
          <w:sz w:val="21"/>
        </w:rPr>
        <w:t xml:space="preserve"> category rises by about 1.8 percentage points and the high category falls by about 1.1 points. The effect is minor, but it means that reducing workload is unlikely to lift engagement on its own. The reverse scenario is also relevant, because it shows why workload increases need careful handling. If all workers experienced high </w:t>
      </w:r>
      <w:r>
        <w:rPr>
          <w:rFonts w:ascii="Segoe UI Light" w:hAnsi="Segoe UI Light"/>
          <w:b/>
          <w:sz w:val="21"/>
        </w:rPr>
        <w:t>Role Overload</w:t>
      </w:r>
      <w:r>
        <w:rPr>
          <w:rFonts w:ascii="Segoe UI Light" w:hAnsi="Segoe UI Light"/>
          <w:sz w:val="21"/>
        </w:rPr>
        <w:t xml:space="preserve">, the high </w:t>
      </w:r>
      <w:r>
        <w:rPr>
          <w:rFonts w:ascii="Segoe UI Light" w:hAnsi="Segoe UI Light"/>
          <w:b/>
          <w:sz w:val="21"/>
        </w:rPr>
        <w:t>Burnout</w:t>
      </w:r>
      <w:r>
        <w:rPr>
          <w:rFonts w:ascii="Segoe UI Light" w:hAnsi="Segoe UI Light"/>
          <w:sz w:val="21"/>
        </w:rPr>
        <w:t xml:space="preserve"> category would rise to about 46%. The model's starting estimate places about a quarter of workers in high </w:t>
      </w:r>
      <w:r>
        <w:rPr>
          <w:rFonts w:ascii="Segoe UI Light" w:hAnsi="Segoe UI Light"/>
          <w:b/>
          <w:sz w:val="21"/>
        </w:rPr>
        <w:t>Role Overload</w:t>
      </w:r>
      <w:r>
        <w:rPr>
          <w:rFonts w:ascii="Segoe UI Light" w:hAnsi="Segoe UI Light"/>
          <w:sz w:val="21"/>
        </w:rPr>
        <w:t>.</w:t>
      </w:r>
    </w:p>
    <w:p>
      <w:pPr>
        <w:spacing w:after="120"/>
      </w:pPr>
      <w:r>
        <w:rPr>
          <w:rFonts w:ascii="Segoe UI Light" w:hAnsi="Segoe UI Light"/>
          <w:b/>
          <w:sz w:val="21"/>
        </w:rPr>
        <w:t>Work Life Conflict</w:t>
      </w:r>
      <w:r>
        <w:rPr>
          <w:rFonts w:ascii="Segoe UI Light" w:hAnsi="Segoe UI Light"/>
          <w:sz w:val="21"/>
        </w:rPr>
        <w:t xml:space="preserve"> means work demands interfering with home life, relationships or other responsibilities. It is estimated to improve all three outcomes. </w:t>
      </w:r>
      <w:r>
        <w:rPr>
          <w:rFonts w:ascii="Segoe UI Light" w:hAnsi="Segoe UI Light"/>
          <w:b/>
          <w:sz w:val="21"/>
        </w:rPr>
        <w:t>Recognition</w:t>
      </w:r>
      <w:r>
        <w:rPr>
          <w:rFonts w:ascii="Segoe UI Light" w:hAnsi="Segoe UI Light"/>
          <w:sz w:val="21"/>
        </w:rPr>
        <w:t xml:space="preserve"> and </w:t>
      </w:r>
      <w:r>
        <w:rPr>
          <w:rFonts w:ascii="Segoe UI Light" w:hAnsi="Segoe UI Light"/>
          <w:b/>
          <w:sz w:val="21"/>
        </w:rPr>
        <w:t>Meaningful Work</w:t>
      </w:r>
      <w:r>
        <w:rPr>
          <w:rFonts w:ascii="Segoe UI Light" w:hAnsi="Segoe UI Light"/>
          <w:sz w:val="21"/>
        </w:rPr>
        <w:t xml:space="preserve"> also improve all three, with larger gains in </w:t>
      </w:r>
      <w:r>
        <w:rPr>
          <w:rFonts w:ascii="Segoe UI Light" w:hAnsi="Segoe UI Light"/>
          <w:b/>
          <w:sz w:val="21"/>
        </w:rPr>
        <w:t>Work Engagement</w:t>
      </w:r>
      <w:r>
        <w:rPr>
          <w:rFonts w:ascii="Segoe UI Light" w:hAnsi="Segoe UI Light"/>
          <w:sz w:val="21"/>
        </w:rPr>
        <w:t xml:space="preserve"> but smaller reductions in high </w:t>
      </w:r>
      <w:r>
        <w:rPr>
          <w:rFonts w:ascii="Segoe UI Light" w:hAnsi="Segoe UI Light"/>
          <w:b/>
          <w:sz w:val="21"/>
        </w:rPr>
        <w:t>Burnout</w:t>
      </w:r>
      <w:r>
        <w:rPr>
          <w:rFonts w:ascii="Segoe UI Light" w:hAnsi="Segoe UI Light"/>
          <w:sz w:val="21"/>
        </w:rPr>
        <w:t xml:space="preserve"> and high </w:t>
      </w:r>
      <w:r>
        <w:rPr>
          <w:rFonts w:ascii="Segoe UI Light" w:hAnsi="Segoe UI Light"/>
          <w:b/>
          <w:sz w:val="21"/>
        </w:rPr>
        <w:t>Psych Distress</w:t>
      </w:r>
      <w:r>
        <w:rPr>
          <w:rFonts w:ascii="Segoe UI Light" w:hAnsi="Segoe UI Light"/>
          <w:sz w:val="21"/>
        </w:rPr>
        <w:t xml:space="preserve">. If all workers experienced low </w:t>
      </w:r>
      <w:r>
        <w:rPr>
          <w:rFonts w:ascii="Segoe UI Light" w:hAnsi="Segoe UI Light"/>
          <w:b/>
          <w:sz w:val="21"/>
        </w:rPr>
        <w:t>Work Life Conflict</w:t>
      </w:r>
      <w:r>
        <w:rPr>
          <w:rFonts w:ascii="Segoe UI Light" w:hAnsi="Segoe UI Light"/>
          <w:sz w:val="21"/>
        </w:rPr>
        <w:t>:</w:t>
      </w:r>
    </w:p>
    <w:p>
      <w:pPr>
        <w:pStyle w:val="ListBullet"/>
        <w:spacing w:after="60"/>
      </w:pPr>
      <w:r>
        <w:rPr>
          <w:rFonts w:ascii="Segoe UI Light" w:hAnsi="Segoe UI Light"/>
          <w:sz w:val="21"/>
        </w:rPr>
        <w:t xml:space="preserve">the high </w:t>
      </w:r>
      <w:r>
        <w:rPr>
          <w:rFonts w:ascii="Segoe UI Light" w:hAnsi="Segoe UI Light"/>
          <w:b/>
          <w:sz w:val="21"/>
        </w:rPr>
        <w:t>Psych Distress</w:t>
      </w:r>
      <w:r>
        <w:rPr>
          <w:rFonts w:ascii="Segoe UI Light" w:hAnsi="Segoe UI Light"/>
          <w:sz w:val="21"/>
        </w:rPr>
        <w:t xml:space="preserve"> category would fall by about 8 percentage points, from 18.4% to 9.9%. This is the largest reduction in that category among the focus factors</w:t>
      </w:r>
    </w:p>
    <w:p>
      <w:pPr>
        <w:pStyle w:val="ListBullet"/>
        <w:spacing w:after="60"/>
      </w:pPr>
      <w:r>
        <w:rPr>
          <w:rFonts w:ascii="Segoe UI Light" w:hAnsi="Segoe UI Light"/>
          <w:sz w:val="21"/>
        </w:rPr>
        <w:t xml:space="preserve">the high </w:t>
      </w:r>
      <w:r>
        <w:rPr>
          <w:rFonts w:ascii="Segoe UI Light" w:hAnsi="Segoe UI Light"/>
          <w:b/>
          <w:sz w:val="21"/>
        </w:rPr>
        <w:t>Burnout</w:t>
      </w:r>
      <w:r>
        <w:rPr>
          <w:rFonts w:ascii="Segoe UI Light" w:hAnsi="Segoe UI Light"/>
          <w:sz w:val="21"/>
        </w:rPr>
        <w:t xml:space="preserve"> category would fall by about 9 percentage points, from 25.5% to 16.1%</w:t>
      </w:r>
    </w:p>
    <w:p>
      <w:pPr>
        <w:pStyle w:val="ListBullet"/>
        <w:spacing w:after="60"/>
      </w:pPr>
      <w:r>
        <w:rPr>
          <w:rFonts w:ascii="Segoe UI Light" w:hAnsi="Segoe UI Light"/>
          <w:sz w:val="21"/>
        </w:rPr>
        <w:t xml:space="preserve">the high </w:t>
      </w:r>
      <w:r>
        <w:rPr>
          <w:rFonts w:ascii="Segoe UI Light" w:hAnsi="Segoe UI Light"/>
          <w:b/>
          <w:sz w:val="21"/>
        </w:rPr>
        <w:t>Work Engagement</w:t>
      </w:r>
      <w:r>
        <w:rPr>
          <w:rFonts w:ascii="Segoe UI Light" w:hAnsi="Segoe UI Light"/>
          <w:sz w:val="21"/>
        </w:rPr>
        <w:t xml:space="preserve"> category would rise by about 7 percentage points, and the low category would fall by about 4 points.</w:t>
      </w:r>
    </w:p>
    <w:p>
      <w:pPr>
        <w:spacing w:after="120"/>
      </w:pPr>
      <w:r>
        <w:rPr>
          <w:rFonts w:ascii="Segoe UI Light" w:hAnsi="Segoe UI Light"/>
          <w:sz w:val="21"/>
        </w:rPr>
        <w:t xml:space="preserve">When the estimated changes across the three outcomes are summed, this factor also shows the widest gap between its best and worst settings of any factor in the model. With high </w:t>
      </w:r>
      <w:r>
        <w:rPr>
          <w:rFonts w:ascii="Segoe UI Light" w:hAnsi="Segoe UI Light"/>
          <w:b/>
          <w:sz w:val="21"/>
        </w:rPr>
        <w:t>Work Life Conflict</w:t>
      </w:r>
      <w:r>
        <w:rPr>
          <w:rFonts w:ascii="Segoe UI Light" w:hAnsi="Segoe UI Light"/>
          <w:sz w:val="21"/>
        </w:rPr>
        <w:t xml:space="preserve"> for all workers, the high </w:t>
      </w:r>
      <w:r>
        <w:rPr>
          <w:rFonts w:ascii="Segoe UI Light" w:hAnsi="Segoe UI Light"/>
          <w:b/>
          <w:sz w:val="21"/>
        </w:rPr>
        <w:t>Psych Distress</w:t>
      </w:r>
      <w:r>
        <w:rPr>
          <w:rFonts w:ascii="Segoe UI Light" w:hAnsi="Segoe UI Light"/>
          <w:sz w:val="21"/>
        </w:rPr>
        <w:t xml:space="preserve"> category would reach about 33%.</w:t>
      </w:r>
    </w:p>
    <w:p>
      <w:pPr>
        <w:spacing w:after="120"/>
      </w:pPr>
      <w:r>
        <w:rPr>
          <w:rFonts w:ascii="Segoe UI Light" w:hAnsi="Segoe UI Light"/>
          <w:sz w:val="21"/>
        </w:rPr>
        <w:t xml:space="preserve">The two demand factors partly overlap. When the model combines low </w:t>
      </w:r>
      <w:r>
        <w:rPr>
          <w:rFonts w:ascii="Segoe UI Light" w:hAnsi="Segoe UI Light"/>
          <w:b/>
          <w:sz w:val="21"/>
        </w:rPr>
        <w:t>Role Overload</w:t>
      </w:r>
      <w:r>
        <w:rPr>
          <w:rFonts w:ascii="Segoe UI Light" w:hAnsi="Segoe UI Light"/>
          <w:sz w:val="21"/>
        </w:rPr>
        <w:t xml:space="preserve"> and low </w:t>
      </w:r>
      <w:r>
        <w:rPr>
          <w:rFonts w:ascii="Segoe UI Light" w:hAnsi="Segoe UI Light"/>
          <w:b/>
          <w:sz w:val="21"/>
        </w:rPr>
        <w:t>Work Life Conflict</w:t>
      </w:r>
      <w:r>
        <w:rPr>
          <w:rFonts w:ascii="Segoe UI Light" w:hAnsi="Segoe UI Light"/>
          <w:sz w:val="21"/>
        </w:rPr>
        <w:t xml:space="preserve"> with high </w:t>
      </w:r>
      <w:r>
        <w:rPr>
          <w:rFonts w:ascii="Segoe UI Light" w:hAnsi="Segoe UI Light"/>
          <w:b/>
          <w:sz w:val="21"/>
        </w:rPr>
        <w:t>Meaningful Work</w:t>
      </w:r>
      <w:r>
        <w:rPr>
          <w:rFonts w:ascii="Segoe UI Light" w:hAnsi="Segoe UI Light"/>
          <w:sz w:val="21"/>
        </w:rPr>
        <w:t>, the combined change is smaller than the sum of the separate changes on all three outcomes. The estimated benefits of workload and work-life improvements should therefore not simply be added together. In practice, these two factors are likely to be addressed through connected decisions about how much work there is, when it happens and how it is resourced.</w:t>
      </w:r>
    </w:p>
    <w:p>
      <w:bookmarkStart w:id="7" w:name="_PWToc7"/>
      <w:pPr>
        <w:pStyle w:val="Heading2"/>
      </w:pPr>
      <w:r>
        <w:rPr>
          <w:rFonts w:ascii="Segoe UI Light" w:hAnsi="Segoe UI Light"/>
          <w:b/>
          <w:color w:val="2D5A8E"/>
          <w:sz w:val="22"/>
        </w:rPr>
        <w:t>Emotional Demand: a burnout concern for some roles</w:t>
      </w:r>
      <w:bookmarkEnd w:id="7"/>
    </w:p>
    <w:p>
      <w:pPr>
        <w:spacing w:after="120"/>
      </w:pPr>
      <w:r>
        <w:rPr>
          <w:rFonts w:ascii="Segoe UI Light" w:hAnsi="Segoe UI Light"/>
          <w:b/>
          <w:sz w:val="21"/>
        </w:rPr>
        <w:t>Emotional Demand</w:t>
      </w:r>
      <w:r>
        <w:rPr>
          <w:rFonts w:ascii="Segoe UI Light" w:hAnsi="Segoe UI Light"/>
          <w:sz w:val="21"/>
        </w:rPr>
        <w:t xml:space="preserve"> covers emotionally demanding interactions, such as responding to other people's distress or managing the emotions a person must show in their role. If all workers experienced low </w:t>
      </w:r>
      <w:r>
        <w:rPr>
          <w:rFonts w:ascii="Segoe UI Light" w:hAnsi="Segoe UI Light"/>
          <w:b/>
          <w:sz w:val="21"/>
        </w:rPr>
        <w:t>Emotional Demand</w:t>
      </w:r>
      <w:r>
        <w:rPr>
          <w:rFonts w:ascii="Segoe UI Light" w:hAnsi="Segoe UI Light"/>
          <w:sz w:val="21"/>
        </w:rPr>
        <w:t xml:space="preserve">, the high </w:t>
      </w:r>
      <w:r>
        <w:rPr>
          <w:rFonts w:ascii="Segoe UI Light" w:hAnsi="Segoe UI Light"/>
          <w:b/>
          <w:sz w:val="21"/>
        </w:rPr>
        <w:t>Burnout</w:t>
      </w:r>
      <w:r>
        <w:rPr>
          <w:rFonts w:ascii="Segoe UI Light" w:hAnsi="Segoe UI Light"/>
          <w:sz w:val="21"/>
        </w:rPr>
        <w:t xml:space="preserve"> category would fall by about 9 percentage points, from 25.5% to 16.3%. The high </w:t>
      </w:r>
      <w:r>
        <w:rPr>
          <w:rFonts w:ascii="Segoe UI Light" w:hAnsi="Segoe UI Light"/>
          <w:b/>
          <w:sz w:val="21"/>
        </w:rPr>
        <w:t>Psych Distress</w:t>
      </w:r>
      <w:r>
        <w:rPr>
          <w:rFonts w:ascii="Segoe UI Light" w:hAnsi="Segoe UI Light"/>
          <w:sz w:val="21"/>
        </w:rPr>
        <w:t xml:space="preserve"> category would fall by about 3 points. The model estimates no change in </w:t>
      </w:r>
      <w:r>
        <w:rPr>
          <w:rFonts w:ascii="Segoe UI Light" w:hAnsi="Segoe UI Light"/>
          <w:b/>
          <w:sz w:val="21"/>
        </w:rPr>
        <w:t>Work Engagement</w:t>
      </w:r>
      <w:r>
        <w:rPr>
          <w:rFonts w:ascii="Segoe UI Light" w:hAnsi="Segoe UI Light"/>
          <w:sz w:val="21"/>
        </w:rPr>
        <w:t>.</w:t>
      </w:r>
    </w:p>
    <w:p>
      <w:pPr>
        <w:spacing w:after="120"/>
      </w:pPr>
      <w:r>
        <w:rPr>
          <w:rFonts w:ascii="Segoe UI Light" w:hAnsi="Segoe UI Light"/>
          <w:sz w:val="21"/>
        </w:rPr>
        <w:t xml:space="preserve">The model's starting estimate places about 22% of workers in high </w:t>
      </w:r>
      <w:r>
        <w:rPr>
          <w:rFonts w:ascii="Segoe UI Light" w:hAnsi="Segoe UI Light"/>
          <w:b/>
          <w:sz w:val="21"/>
        </w:rPr>
        <w:t>Emotional Demand</w:t>
      </w:r>
      <w:r>
        <w:rPr>
          <w:rFonts w:ascii="Segoe UI Light" w:hAnsi="Segoe UI Light"/>
          <w:sz w:val="21"/>
        </w:rPr>
        <w:t>. This kind of demand is usually concentrated in particular roles, such as customer-facing, care or complaints work, rather than spread evenly across a workforce. Local information about which roles carry it matters more for this factor than the organisation-wide average.</w:t>
      </w:r>
    </w:p>
    <w:p>
      <w:bookmarkStart w:id="8" w:name="_PWToc8"/>
      <w:pPr>
        <w:pStyle w:val="Heading2"/>
      </w:pPr>
      <w:r>
        <w:rPr>
          <w:rFonts w:ascii="Segoe UI Light" w:hAnsi="Segoe UI Light"/>
          <w:b/>
          <w:color w:val="2D5A8E"/>
          <w:sz w:val="22"/>
        </w:rPr>
        <w:t>Recognition and Meaningful Work: the strongest levers for engagement, and strengths to protect</w:t>
      </w:r>
      <w:bookmarkEnd w:id="8"/>
    </w:p>
    <w:p>
      <w:pPr>
        <w:spacing w:after="120"/>
      </w:pPr>
      <w:r>
        <w:rPr>
          <w:rFonts w:ascii="Segoe UI Light" w:hAnsi="Segoe UI Light"/>
          <w:b/>
          <w:sz w:val="21"/>
        </w:rPr>
        <w:t>Meaningful Work</w:t>
      </w:r>
      <w:r>
        <w:rPr>
          <w:rFonts w:ascii="Segoe UI Light" w:hAnsi="Segoe UI Light"/>
          <w:sz w:val="21"/>
        </w:rPr>
        <w:t xml:space="preserve"> and </w:t>
      </w:r>
      <w:r>
        <w:rPr>
          <w:rFonts w:ascii="Segoe UI Light" w:hAnsi="Segoe UI Light"/>
          <w:b/>
          <w:sz w:val="21"/>
        </w:rPr>
        <w:t>Recognition</w:t>
      </w:r>
      <w:r>
        <w:rPr>
          <w:rFonts w:ascii="Segoe UI Light" w:hAnsi="Segoe UI Light"/>
          <w:sz w:val="21"/>
        </w:rPr>
        <w:t xml:space="preserve"> show the largest estimated gains in </w:t>
      </w:r>
      <w:r>
        <w:rPr>
          <w:rFonts w:ascii="Segoe UI Light" w:hAnsi="Segoe UI Light"/>
          <w:b/>
          <w:sz w:val="21"/>
        </w:rPr>
        <w:t>Work Engagement</w:t>
      </w:r>
      <w:r>
        <w:rPr>
          <w:rFonts w:ascii="Segoe UI Light" w:hAnsi="Segoe UI Light"/>
          <w:sz w:val="21"/>
        </w:rPr>
        <w:t xml:space="preserve"> among the focus factors.</w:t>
      </w:r>
    </w:p>
    <w:p>
      <w:pPr>
        <w:pStyle w:val="ListBullet"/>
        <w:spacing w:after="60"/>
      </w:pPr>
      <w:r>
        <w:rPr>
          <w:rFonts w:ascii="Segoe UI Light" w:hAnsi="Segoe UI Light"/>
          <w:sz w:val="21"/>
        </w:rPr>
        <w:t xml:space="preserve">If all workers experienced high </w:t>
      </w:r>
      <w:r>
        <w:rPr>
          <w:rFonts w:ascii="Segoe UI Light" w:hAnsi="Segoe UI Light"/>
          <w:b/>
          <w:sz w:val="21"/>
        </w:rPr>
        <w:t>Meaningful Work</w:t>
      </w:r>
      <w:r>
        <w:rPr>
          <w:rFonts w:ascii="Segoe UI Light" w:hAnsi="Segoe UI Light"/>
          <w:sz w:val="21"/>
        </w:rPr>
        <w:t xml:space="preserve">, the high </w:t>
      </w:r>
      <w:r>
        <w:rPr>
          <w:rFonts w:ascii="Segoe UI Light" w:hAnsi="Segoe UI Light"/>
          <w:b/>
          <w:sz w:val="21"/>
        </w:rPr>
        <w:t>Work Engagement</w:t>
      </w:r>
      <w:r>
        <w:rPr>
          <w:rFonts w:ascii="Segoe UI Light" w:hAnsi="Segoe UI Light"/>
          <w:sz w:val="21"/>
        </w:rPr>
        <w:t xml:space="preserve"> category would rise by about 12 percentage points, from about 34% to about 46%. The low category would fall by about 9 points, to about 9%. The effects on </w:t>
      </w:r>
      <w:r>
        <w:rPr>
          <w:rFonts w:ascii="Segoe UI Light" w:hAnsi="Segoe UI Light"/>
          <w:b/>
          <w:sz w:val="21"/>
        </w:rPr>
        <w:t>Burnout</w:t>
      </w:r>
      <w:r>
        <w:rPr>
          <w:rFonts w:ascii="Segoe UI Light" w:hAnsi="Segoe UI Light"/>
          <w:sz w:val="21"/>
        </w:rPr>
        <w:t xml:space="preserve"> and </w:t>
      </w:r>
      <w:r>
        <w:rPr>
          <w:rFonts w:ascii="Segoe UI Light" w:hAnsi="Segoe UI Light"/>
          <w:b/>
          <w:sz w:val="21"/>
        </w:rPr>
        <w:t>Psych Distress</w:t>
      </w:r>
      <w:r>
        <w:rPr>
          <w:rFonts w:ascii="Segoe UI Light" w:hAnsi="Segoe UI Light"/>
          <w:sz w:val="21"/>
        </w:rPr>
        <w:t xml:space="preserve"> are smaller, with the high categories falling by about 4 points and about 1 point respectively.</w:t>
      </w:r>
    </w:p>
    <w:p>
      <w:pPr>
        <w:pStyle w:val="ListBullet"/>
        <w:spacing w:after="60"/>
      </w:pPr>
      <w:r>
        <w:rPr>
          <w:rFonts w:ascii="Segoe UI Light" w:hAnsi="Segoe UI Light"/>
          <w:sz w:val="21"/>
        </w:rPr>
        <w:t xml:space="preserve">If all workers experienced high </w:t>
      </w:r>
      <w:r>
        <w:rPr>
          <w:rFonts w:ascii="Segoe UI Light" w:hAnsi="Segoe UI Light"/>
          <w:b/>
          <w:sz w:val="21"/>
        </w:rPr>
        <w:t>Recognition</w:t>
      </w:r>
      <w:r>
        <w:rPr>
          <w:rFonts w:ascii="Segoe UI Light" w:hAnsi="Segoe UI Light"/>
          <w:sz w:val="21"/>
        </w:rPr>
        <w:t xml:space="preserve">, the high </w:t>
      </w:r>
      <w:r>
        <w:rPr>
          <w:rFonts w:ascii="Segoe UI Light" w:hAnsi="Segoe UI Light"/>
          <w:b/>
          <w:sz w:val="21"/>
        </w:rPr>
        <w:t>Work Engagement</w:t>
      </w:r>
      <w:r>
        <w:rPr>
          <w:rFonts w:ascii="Segoe UI Light" w:hAnsi="Segoe UI Light"/>
          <w:sz w:val="21"/>
        </w:rPr>
        <w:t xml:space="preserve"> category would rise by about 11 percentage points, to about 45%. The low category would fall by about 7.5 points. The high </w:t>
      </w:r>
      <w:r>
        <w:rPr>
          <w:rFonts w:ascii="Segoe UI Light" w:hAnsi="Segoe UI Light"/>
          <w:b/>
          <w:sz w:val="21"/>
        </w:rPr>
        <w:t>Burnout</w:t>
      </w:r>
      <w:r>
        <w:rPr>
          <w:rFonts w:ascii="Segoe UI Light" w:hAnsi="Segoe UI Light"/>
          <w:sz w:val="21"/>
        </w:rPr>
        <w:t xml:space="preserve"> category would fall by about 5 points and the high </w:t>
      </w:r>
      <w:r>
        <w:rPr>
          <w:rFonts w:ascii="Segoe UI Light" w:hAnsi="Segoe UI Light"/>
          <w:b/>
          <w:sz w:val="21"/>
        </w:rPr>
        <w:t>Psych Distress</w:t>
      </w:r>
      <w:r>
        <w:rPr>
          <w:rFonts w:ascii="Segoe UI Light" w:hAnsi="Segoe UI Light"/>
          <w:sz w:val="21"/>
        </w:rPr>
        <w:t xml:space="preserve"> category by about 3 points.</w:t>
      </w:r>
    </w:p>
    <w:p>
      <w:pPr>
        <w:spacing w:after="120"/>
      </w:pPr>
      <w:r>
        <w:rPr>
          <w:rFonts w:ascii="Segoe UI Light" w:hAnsi="Segoe UI Light"/>
          <w:sz w:val="21"/>
        </w:rPr>
        <w:t xml:space="preserve">The model's starting estimates suggest these conditions are relatively favourable for many workers. About 55% are in high </w:t>
      </w:r>
      <w:r>
        <w:rPr>
          <w:rFonts w:ascii="Segoe UI Light" w:hAnsi="Segoe UI Light"/>
          <w:b/>
          <w:sz w:val="21"/>
        </w:rPr>
        <w:t>Meaningful Work</w:t>
      </w:r>
      <w:r>
        <w:rPr>
          <w:rFonts w:ascii="Segoe UI Light" w:hAnsi="Segoe UI Light"/>
          <w:sz w:val="21"/>
        </w:rPr>
        <w:t xml:space="preserve"> and about 50% in high </w:t>
      </w:r>
      <w:r>
        <w:rPr>
          <w:rFonts w:ascii="Segoe UI Light" w:hAnsi="Segoe UI Light"/>
          <w:b/>
          <w:sz w:val="21"/>
        </w:rPr>
        <w:t>Recognition</w:t>
      </w:r>
      <w:r>
        <w:rPr>
          <w:rFonts w:ascii="Segoe UI Light" w:hAnsi="Segoe UI Light"/>
          <w:sz w:val="21"/>
        </w:rPr>
        <w:t xml:space="preserve">. The reverse scenarios show why these strengths are worth protecting. If all workers experienced low </w:t>
      </w:r>
      <w:r>
        <w:rPr>
          <w:rFonts w:ascii="Segoe UI Light" w:hAnsi="Segoe UI Light"/>
          <w:b/>
          <w:sz w:val="21"/>
        </w:rPr>
        <w:t>Meaningful Work</w:t>
      </w:r>
      <w:r>
        <w:rPr>
          <w:rFonts w:ascii="Segoe UI Light" w:hAnsi="Segoe UI Light"/>
          <w:sz w:val="21"/>
        </w:rPr>
        <w:t xml:space="preserve">, the high </w:t>
      </w:r>
      <w:r>
        <w:rPr>
          <w:rFonts w:ascii="Segoe UI Light" w:hAnsi="Segoe UI Light"/>
          <w:b/>
          <w:sz w:val="21"/>
        </w:rPr>
        <w:t>Work Engagement</w:t>
      </w:r>
      <w:r>
        <w:rPr>
          <w:rFonts w:ascii="Segoe UI Light" w:hAnsi="Segoe UI Light"/>
          <w:sz w:val="21"/>
        </w:rPr>
        <w:t xml:space="preserve"> category would drop to about 9% and the low category would rise to about 42%. With low </w:t>
      </w:r>
      <w:r>
        <w:rPr>
          <w:rFonts w:ascii="Segoe UI Light" w:hAnsi="Segoe UI Light"/>
          <w:b/>
          <w:sz w:val="21"/>
        </w:rPr>
        <w:t>Recognition</w:t>
      </w:r>
      <w:r>
        <w:rPr>
          <w:rFonts w:ascii="Segoe UI Light" w:hAnsi="Segoe UI Light"/>
          <w:sz w:val="21"/>
        </w:rPr>
        <w:t xml:space="preserve"> for all workers, the high </w:t>
      </w:r>
      <w:r>
        <w:rPr>
          <w:rFonts w:ascii="Segoe UI Light" w:hAnsi="Segoe UI Light"/>
          <w:b/>
          <w:sz w:val="21"/>
        </w:rPr>
        <w:t>Work Engagement</w:t>
      </w:r>
      <w:r>
        <w:rPr>
          <w:rFonts w:ascii="Segoe UI Light" w:hAnsi="Segoe UI Light"/>
          <w:sz w:val="21"/>
        </w:rPr>
        <w:t xml:space="preserve"> category would fall to about 16%.</w:t>
      </w:r>
    </w:p>
    <w:p>
      <w:pPr>
        <w:spacing w:after="120"/>
      </w:pPr>
      <w:r>
        <w:rPr>
          <w:rFonts w:ascii="Segoe UI Light" w:hAnsi="Segoe UI Light"/>
          <w:sz w:val="21"/>
        </w:rPr>
        <w:t xml:space="preserve">The Diagnostics view supports questions in the same direction. Among workers in the low </w:t>
      </w:r>
      <w:r>
        <w:rPr>
          <w:rFonts w:ascii="Segoe UI Light" w:hAnsi="Segoe UI Light"/>
          <w:b/>
          <w:sz w:val="21"/>
        </w:rPr>
        <w:t>Work Engagement</w:t>
      </w:r>
      <w:r>
        <w:rPr>
          <w:rFonts w:ascii="Segoe UI Light" w:hAnsi="Segoe UI Light"/>
          <w:sz w:val="21"/>
        </w:rPr>
        <w:t xml:space="preserve"> category, the model estimates that about 37% are in low </w:t>
      </w:r>
      <w:r>
        <w:rPr>
          <w:rFonts w:ascii="Segoe UI Light" w:hAnsi="Segoe UI Light"/>
          <w:b/>
          <w:sz w:val="21"/>
        </w:rPr>
        <w:t>Meaningful Work</w:t>
      </w:r>
      <w:r>
        <w:rPr>
          <w:rFonts w:ascii="Segoe UI Light" w:hAnsi="Segoe UI Light"/>
          <w:sz w:val="21"/>
        </w:rPr>
        <w:t xml:space="preserve">, compared with about 15% overall. It estimates about 33% are in low </w:t>
      </w:r>
      <w:r>
        <w:rPr>
          <w:rFonts w:ascii="Segoe UI Light" w:hAnsi="Segoe UI Light"/>
          <w:b/>
          <w:sz w:val="21"/>
        </w:rPr>
        <w:t>Recognition</w:t>
      </w:r>
      <w:r>
        <w:rPr>
          <w:rFonts w:ascii="Segoe UI Light" w:hAnsi="Segoe UI Light"/>
          <w:sz w:val="21"/>
        </w:rPr>
        <w:t xml:space="preserve">, compared with about 17% overall, and about 31% are in high </w:t>
      </w:r>
      <w:r>
        <w:rPr>
          <w:rFonts w:ascii="Segoe UI Light" w:hAnsi="Segoe UI Light"/>
          <w:b/>
          <w:sz w:val="21"/>
        </w:rPr>
        <w:t>Work Life Conflict</w:t>
      </w:r>
      <w:r>
        <w:rPr>
          <w:rFonts w:ascii="Segoe UI Light" w:hAnsi="Segoe UI Light"/>
          <w:sz w:val="21"/>
        </w:rPr>
        <w:t>, compared with about 20% overall. These figures do not show what caused low engagement for any individual. They suggest that meaning, recognition and work-life demands are useful topics to raise with disengaged teams.</w:t>
      </w:r>
    </w:p>
    <w:p>
      <w:bookmarkStart w:id="9" w:name="_PWToc9"/>
      <w:pPr>
        <w:pStyle w:val="Heading2"/>
      </w:pPr>
      <w:r>
        <w:rPr>
          <w:rFonts w:ascii="Segoe UI Light" w:hAnsi="Segoe UI Light"/>
          <w:b/>
          <w:color w:val="2D5A8E"/>
          <w:sz w:val="22"/>
        </w:rPr>
        <w:t>Combining demand reduction with recognition and meaning</w:t>
      </w:r>
      <w:bookmarkEnd w:id="9"/>
    </w:p>
    <w:p>
      <w:pPr>
        <w:spacing w:after="120"/>
      </w:pPr>
      <w:r>
        <w:rPr>
          <w:rFonts w:ascii="Segoe UI Light" w:hAnsi="Segoe UI Light"/>
          <w:sz w:val="21"/>
        </w:rPr>
        <w:t xml:space="preserve">One combined scenario is directly useful for decisions: low </w:t>
      </w:r>
      <w:r>
        <w:rPr>
          <w:rFonts w:ascii="Segoe UI Light" w:hAnsi="Segoe UI Light"/>
          <w:b/>
          <w:sz w:val="21"/>
        </w:rPr>
        <w:t>Role Overload</w:t>
      </w:r>
      <w:r>
        <w:rPr>
          <w:rFonts w:ascii="Segoe UI Light" w:hAnsi="Segoe UI Light"/>
          <w:sz w:val="21"/>
        </w:rPr>
        <w:t xml:space="preserve">, high </w:t>
      </w:r>
      <w:r>
        <w:rPr>
          <w:rFonts w:ascii="Segoe UI Light" w:hAnsi="Segoe UI Light"/>
          <w:b/>
          <w:sz w:val="21"/>
        </w:rPr>
        <w:t>Recognition</w:t>
      </w:r>
      <w:r>
        <w:rPr>
          <w:rFonts w:ascii="Segoe UI Light" w:hAnsi="Segoe UI Light"/>
          <w:sz w:val="21"/>
        </w:rPr>
        <w:t xml:space="preserve"> and high </w:t>
      </w:r>
      <w:r>
        <w:rPr>
          <w:rFonts w:ascii="Segoe UI Light" w:hAnsi="Segoe UI Light"/>
          <w:b/>
          <w:sz w:val="21"/>
        </w:rPr>
        <w:t>Meaningful Work</w:t>
      </w:r>
      <w:r>
        <w:rPr>
          <w:rFonts w:ascii="Segoe UI Light" w:hAnsi="Segoe UI Light"/>
          <w:sz w:val="21"/>
        </w:rPr>
        <w:t xml:space="preserve"> together. In this scenario:</w:t>
      </w:r>
    </w:p>
    <w:p>
      <w:pPr>
        <w:pStyle w:val="ListBullet"/>
        <w:spacing w:after="60"/>
      </w:pPr>
      <w:r>
        <w:rPr>
          <w:rFonts w:ascii="Segoe UI Light" w:hAnsi="Segoe UI Light"/>
          <w:sz w:val="21"/>
        </w:rPr>
        <w:t xml:space="preserve">the high </w:t>
      </w:r>
      <w:r>
        <w:rPr>
          <w:rFonts w:ascii="Segoe UI Light" w:hAnsi="Segoe UI Light"/>
          <w:b/>
          <w:sz w:val="21"/>
        </w:rPr>
        <w:t>Burnout</w:t>
      </w:r>
      <w:r>
        <w:rPr>
          <w:rFonts w:ascii="Segoe UI Light" w:hAnsi="Segoe UI Light"/>
          <w:sz w:val="21"/>
        </w:rPr>
        <w:t xml:space="preserve"> category falls by about 20 percentage points, to about 6%</w:t>
      </w:r>
    </w:p>
    <w:p>
      <w:pPr>
        <w:pStyle w:val="ListBullet"/>
        <w:spacing w:after="60"/>
      </w:pPr>
      <w:r>
        <w:rPr>
          <w:rFonts w:ascii="Segoe UI Light" w:hAnsi="Segoe UI Light"/>
          <w:sz w:val="21"/>
        </w:rPr>
        <w:t xml:space="preserve">the high </w:t>
      </w:r>
      <w:r>
        <w:rPr>
          <w:rFonts w:ascii="Segoe UI Light" w:hAnsi="Segoe UI Light"/>
          <w:b/>
          <w:sz w:val="21"/>
        </w:rPr>
        <w:t>Psych Distress</w:t>
      </w:r>
      <w:r>
        <w:rPr>
          <w:rFonts w:ascii="Segoe UI Light" w:hAnsi="Segoe UI Light"/>
          <w:sz w:val="21"/>
        </w:rPr>
        <w:t xml:space="preserve"> category falls by about 10 points, to about 9%</w:t>
      </w:r>
    </w:p>
    <w:p>
      <w:pPr>
        <w:pStyle w:val="ListBullet"/>
        <w:spacing w:after="60"/>
      </w:pPr>
      <w:r>
        <w:rPr>
          <w:rFonts w:ascii="Segoe UI Light" w:hAnsi="Segoe UI Light"/>
          <w:sz w:val="21"/>
        </w:rPr>
        <w:t xml:space="preserve">the high </w:t>
      </w:r>
      <w:r>
        <w:rPr>
          <w:rFonts w:ascii="Segoe UI Light" w:hAnsi="Segoe UI Light"/>
          <w:b/>
          <w:sz w:val="21"/>
        </w:rPr>
        <w:t>Work Engagement</w:t>
      </w:r>
      <w:r>
        <w:rPr>
          <w:rFonts w:ascii="Segoe UI Light" w:hAnsi="Segoe UI Light"/>
          <w:sz w:val="21"/>
        </w:rPr>
        <w:t xml:space="preserve"> category rises by about 22 points, to about 56%, and the low category falls by about 12 points.</w:t>
      </w:r>
    </w:p>
    <w:p>
      <w:pPr>
        <w:spacing w:after="120"/>
      </w:pPr>
      <w:r>
        <w:rPr>
          <w:rFonts w:ascii="Segoe UI Light" w:hAnsi="Segoe UI Light"/>
          <w:sz w:val="21"/>
        </w:rPr>
        <w:t xml:space="preserve">For </w:t>
      </w:r>
      <w:r>
        <w:rPr>
          <w:rFonts w:ascii="Segoe UI Light" w:hAnsi="Segoe UI Light"/>
          <w:b/>
          <w:sz w:val="21"/>
        </w:rPr>
        <w:t>Work Engagement</w:t>
      </w:r>
      <w:r>
        <w:rPr>
          <w:rFonts w:ascii="Segoe UI Light" w:hAnsi="Segoe UI Light"/>
          <w:sz w:val="21"/>
        </w:rPr>
        <w:t xml:space="preserve"> and </w:t>
      </w:r>
      <w:r>
        <w:rPr>
          <w:rFonts w:ascii="Segoe UI Light" w:hAnsi="Segoe UI Light"/>
          <w:b/>
          <w:sz w:val="21"/>
        </w:rPr>
        <w:t>Burnout</w:t>
      </w:r>
      <w:r>
        <w:rPr>
          <w:rFonts w:ascii="Segoe UI Light" w:hAnsi="Segoe UI Light"/>
          <w:sz w:val="21"/>
        </w:rPr>
        <w:t xml:space="preserve">, the combined change is close to the sum of the separate changes. For </w:t>
      </w:r>
      <w:r>
        <w:rPr>
          <w:rFonts w:ascii="Segoe UI Light" w:hAnsi="Segoe UI Light"/>
          <w:b/>
          <w:sz w:val="21"/>
        </w:rPr>
        <w:t>Psych Distress</w:t>
      </w:r>
      <w:r>
        <w:rPr>
          <w:rFonts w:ascii="Segoe UI Light" w:hAnsi="Segoe UI Light"/>
          <w:sz w:val="21"/>
        </w:rPr>
        <w:t>, the model cannot reliably separate combined from individual effects. The practical message is that pairing workload relief with attention to recognition and meaning offsets the small engagement trade-off of reducing workload alone.</w:t>
      </w:r>
    </w:p>
    <w:p>
      <w:bookmarkStart w:id="10" w:name="_PWToc10"/>
      <w:pPr>
        <w:pStyle w:val="Heading2"/>
      </w:pPr>
      <w:r>
        <w:rPr>
          <w:rFonts w:ascii="Segoe UI Light" w:hAnsi="Segoe UI Light"/>
          <w:b/>
          <w:color w:val="2D5A8E"/>
          <w:sz w:val="22"/>
        </w:rPr>
        <w:t>Summary of single-factor and combined comparisons</w:t>
      </w:r>
      <w:bookmarkEnd w:id="10"/>
    </w:p>
    <w:p>
      <w:pPr>
        <w:spacing w:after="120"/>
      </w:pPr>
      <w:r>
        <w:rPr>
          <w:rFonts w:ascii="Segoe UI Light" w:hAnsi="Segoe UI Light"/>
          <w:sz w:val="21"/>
        </w:rPr>
        <w:t xml:space="preserve">Figures are percentage-point changes from the starting estimate, calculated as scenario minus baseline. A negative number in a high </w:t>
      </w:r>
      <w:r>
        <w:rPr>
          <w:rFonts w:ascii="Segoe UI Light" w:hAnsi="Segoe UI Light"/>
          <w:b/>
          <w:sz w:val="21"/>
        </w:rPr>
        <w:t>Burnout</w:t>
      </w:r>
      <w:r>
        <w:rPr>
          <w:rFonts w:ascii="Segoe UI Light" w:hAnsi="Segoe UI Light"/>
          <w:sz w:val="21"/>
        </w:rPr>
        <w:t xml:space="preserve">, high </w:t>
      </w:r>
      <w:r>
        <w:rPr>
          <w:rFonts w:ascii="Segoe UI Light" w:hAnsi="Segoe UI Light"/>
          <w:b/>
          <w:sz w:val="21"/>
        </w:rPr>
        <w:t>Psych Distress</w:t>
      </w:r>
      <w:r>
        <w:rPr>
          <w:rFonts w:ascii="Segoe UI Light" w:hAnsi="Segoe UI Light"/>
          <w:sz w:val="21"/>
        </w:rPr>
        <w:t xml:space="preserve"> or low </w:t>
      </w:r>
      <w:r>
        <w:rPr>
          <w:rFonts w:ascii="Segoe UI Light" w:hAnsi="Segoe UI Light"/>
          <w:b/>
          <w:sz w:val="21"/>
        </w:rPr>
        <w:t>Work Engagement</w:t>
      </w:r>
      <w:r>
        <w:rPr>
          <w:rFonts w:ascii="Segoe UI Light" w:hAnsi="Segoe UI Light"/>
          <w:sz w:val="21"/>
        </w:rPr>
        <w:t xml:space="preserve"> column is a reduction in an adverse category. A negative number in the high </w:t>
      </w:r>
      <w:r>
        <w:rPr>
          <w:rFonts w:ascii="Segoe UI Light" w:hAnsi="Segoe UI Light"/>
          <w:b/>
          <w:sz w:val="21"/>
        </w:rPr>
        <w:t>Work Engagement</w:t>
      </w:r>
      <w:r>
        <w:rPr>
          <w:rFonts w:ascii="Segoe UI Light" w:hAnsi="Segoe UI Light"/>
          <w:sz w:val="21"/>
        </w:rPr>
        <w:t xml:space="preserve"> column is a loss.</w:t>
      </w:r>
    </w:p>
    <w:tbl>
      <w:tblPr>
        <w:tblStyle w:val="TableGrid"/>
        <w:tblLayout w:type="fixed"/>
        <w:tblLook w:firstColumn="1" w:firstRow="1" w:lastColumn="0" w:lastRow="0" w:noHBand="0" w:noVBand="1" w:val="04A0"/>
        <w:tblW w:w="5000" w:type="pct"/>
      </w:tblPr>
      <w:tblGrid>
        <w:gridCol w:w="1814"/>
        <w:gridCol w:w="1814"/>
        <w:gridCol w:w="1814"/>
        <w:gridCol w:w="1814"/>
        <w:gridCol w:w="1814"/>
      </w:tblGrid>
      <w:tr>
        <w:trPr>
          <w:tblHeader/>
          <w:cantSplit/>
        </w:trPr>
        <w:tc>
          <w:tcPr>
            <w:tcW w:type="dxa" w:w="1814"/>
            <w:shd w:fill="1E3A5F" w:val="clear"/>
            <w:vAlign w:val="center"/>
          </w:tcPr>
          <w:p>
            <w:pPr>
              <w:keepNext/>
              <w:spacing w:after="60" w:before="60"/>
              <w:jc w:val="left"/>
            </w:pPr>
            <w:r>
              <w:rPr>
                <w:rFonts w:ascii="Segoe UI Light" w:hAnsi="Segoe UI Light"/>
                <w:b/>
                <w:color w:val="FFFFFF"/>
                <w:sz w:val="18"/>
              </w:rPr>
              <w:t>Scenario (all workers)</w:t>
            </w:r>
          </w:p>
        </w:tc>
        <w:tc>
          <w:tcPr>
            <w:tcW w:type="dxa" w:w="1814"/>
            <w:shd w:fill="1E3A5F" w:val="clear"/>
            <w:vAlign w:val="center"/>
          </w:tcPr>
          <w:p>
            <w:pPr>
              <w:keepNext/>
              <w:spacing w:after="60" w:before="60"/>
              <w:jc w:val="left"/>
            </w:pPr>
            <w:r>
              <w:rPr>
                <w:rFonts w:ascii="Segoe UI Light" w:hAnsi="Segoe UI Light"/>
                <w:b/>
                <w:color w:val="FFFFFF"/>
                <w:sz w:val="18"/>
              </w:rPr>
              <w:t>High Burnout (starts 25.5%)</w:t>
            </w:r>
          </w:p>
        </w:tc>
        <w:tc>
          <w:tcPr>
            <w:tcW w:type="dxa" w:w="1814"/>
            <w:shd w:fill="1E3A5F" w:val="clear"/>
            <w:vAlign w:val="center"/>
          </w:tcPr>
          <w:p>
            <w:pPr>
              <w:keepNext/>
              <w:spacing w:after="60" w:before="60"/>
              <w:jc w:val="left"/>
            </w:pPr>
            <w:r>
              <w:rPr>
                <w:rFonts w:ascii="Segoe UI Light" w:hAnsi="Segoe UI Light"/>
                <w:b/>
                <w:color w:val="FFFFFF"/>
                <w:sz w:val="18"/>
              </w:rPr>
              <w:t>High Psych Distress (starts 18.4%)</w:t>
            </w:r>
          </w:p>
        </w:tc>
        <w:tc>
          <w:tcPr>
            <w:tcW w:type="dxa" w:w="1814"/>
            <w:shd w:fill="1E3A5F" w:val="clear"/>
            <w:vAlign w:val="center"/>
          </w:tcPr>
          <w:p>
            <w:pPr>
              <w:keepNext/>
              <w:spacing w:after="60" w:before="60"/>
              <w:jc w:val="left"/>
            </w:pPr>
            <w:r>
              <w:rPr>
                <w:rFonts w:ascii="Segoe UI Light" w:hAnsi="Segoe UI Light"/>
                <w:b/>
                <w:color w:val="FFFFFF"/>
                <w:sz w:val="18"/>
              </w:rPr>
              <w:t>High Work Engagement (starts 34.1%)</w:t>
            </w:r>
          </w:p>
        </w:tc>
        <w:tc>
          <w:tcPr>
            <w:tcW w:type="dxa" w:w="1814"/>
            <w:shd w:fill="1E3A5F" w:val="clear"/>
            <w:vAlign w:val="center"/>
          </w:tcPr>
          <w:p>
            <w:pPr>
              <w:keepNext/>
              <w:spacing w:after="60" w:before="60"/>
              <w:jc w:val="left"/>
            </w:pPr>
            <w:r>
              <w:rPr>
                <w:rFonts w:ascii="Segoe UI Light" w:hAnsi="Segoe UI Light"/>
                <w:b/>
                <w:color w:val="FFFFFF"/>
                <w:sz w:val="18"/>
              </w:rPr>
              <w:t>Low Work Engagement (starts 18.5%)</w:t>
            </w:r>
          </w:p>
        </w:tc>
      </w:tr>
      <w:tr>
        <w:trPr>
          <w:cantSplit/>
        </w:trPr>
        <w:tc>
          <w:tcPr>
            <w:tcW w:type="dxa" w:w="1814"/>
            <w:vAlign w:val="center"/>
          </w:tcPr>
          <w:p>
            <w:pPr>
              <w:keepNext/>
              <w:spacing w:after="60" w:before="60"/>
            </w:pPr>
            <w:r/>
            <w:r>
              <w:rPr>
                <w:rFonts w:ascii="Segoe UI Light" w:hAnsi="Segoe UI Light"/>
                <w:b/>
                <w:sz w:val="18"/>
              </w:rPr>
              <w:t>Role Overload</w:t>
            </w:r>
            <w:r>
              <w:rPr>
                <w:rFonts w:ascii="Segoe UI Light" w:hAnsi="Segoe UI Light"/>
                <w:sz w:val="18"/>
              </w:rPr>
              <w:t xml:space="preserve"> low</w:t>
            </w:r>
          </w:p>
        </w:tc>
        <w:tc>
          <w:tcPr>
            <w:tcW w:type="dxa" w:w="1814"/>
            <w:vAlign w:val="center"/>
          </w:tcPr>
          <w:p>
            <w:pPr>
              <w:keepNext/>
              <w:spacing w:after="60" w:before="60"/>
              <w:jc w:val="center"/>
            </w:pPr>
            <w:r/>
            <w:r>
              <w:rPr>
                <w:rFonts w:ascii="Segoe UI Light" w:hAnsi="Segoe UI Light"/>
                <w:sz w:val="18"/>
              </w:rPr>
              <w:t>−15.4</w:t>
            </w:r>
          </w:p>
        </w:tc>
        <w:tc>
          <w:tcPr>
            <w:tcW w:type="dxa" w:w="1814"/>
            <w:vAlign w:val="center"/>
          </w:tcPr>
          <w:p>
            <w:pPr>
              <w:keepNext/>
              <w:spacing w:after="60" w:before="60"/>
              <w:jc w:val="center"/>
            </w:pPr>
            <w:r/>
            <w:r>
              <w:rPr>
                <w:rFonts w:ascii="Segoe UI Light" w:hAnsi="Segoe UI Light"/>
                <w:sz w:val="18"/>
              </w:rPr>
              <w:t>−7.5</w:t>
            </w:r>
          </w:p>
        </w:tc>
        <w:tc>
          <w:tcPr>
            <w:tcW w:type="dxa" w:w="1814"/>
            <w:vAlign w:val="center"/>
          </w:tcPr>
          <w:p>
            <w:pPr>
              <w:keepNext/>
              <w:spacing w:after="60" w:before="60"/>
              <w:jc w:val="center"/>
            </w:pPr>
            <w:r/>
            <w:r>
              <w:rPr>
                <w:rFonts w:ascii="Segoe UI Light" w:hAnsi="Segoe UI Light"/>
                <w:sz w:val="18"/>
              </w:rPr>
              <w:t>−1.1</w:t>
            </w:r>
          </w:p>
        </w:tc>
        <w:tc>
          <w:tcPr>
            <w:tcW w:type="dxa" w:w="1814"/>
            <w:vAlign w:val="center"/>
          </w:tcPr>
          <w:p>
            <w:pPr>
              <w:keepNext/>
              <w:spacing w:after="60" w:before="60"/>
              <w:jc w:val="center"/>
            </w:pPr>
            <w:r/>
            <w:r>
              <w:rPr>
                <w:rFonts w:ascii="Segoe UI Light" w:hAnsi="Segoe UI Light"/>
                <w:sz w:val="18"/>
              </w:rPr>
              <w:t>+1.8</w:t>
            </w:r>
          </w:p>
        </w:tc>
      </w:tr>
      <w:tr>
        <w:trPr>
          <w:cantSplit/>
        </w:trPr>
        <w:tc>
          <w:tcPr>
            <w:tcW w:type="dxa" w:w="1814"/>
            <w:shd w:fill="F1F5F9" w:val="clear"/>
            <w:vAlign w:val="center"/>
          </w:tcPr>
          <w:p>
            <w:pPr>
              <w:keepNext/>
              <w:spacing w:after="60" w:before="60"/>
            </w:pPr>
            <w:r/>
            <w:r>
              <w:rPr>
                <w:rFonts w:ascii="Segoe UI Light" w:hAnsi="Segoe UI Light"/>
                <w:b/>
                <w:sz w:val="18"/>
              </w:rPr>
              <w:t>Work Life Conflict</w:t>
            </w:r>
            <w:r>
              <w:rPr>
                <w:rFonts w:ascii="Segoe UI Light" w:hAnsi="Segoe UI Light"/>
                <w:sz w:val="18"/>
              </w:rPr>
              <w:t xml:space="preserve"> low</w:t>
            </w:r>
          </w:p>
        </w:tc>
        <w:tc>
          <w:tcPr>
            <w:tcW w:type="dxa" w:w="1814"/>
            <w:shd w:fill="F1F5F9" w:val="clear"/>
            <w:vAlign w:val="center"/>
          </w:tcPr>
          <w:p>
            <w:pPr>
              <w:keepNext/>
              <w:spacing w:after="60" w:before="60"/>
              <w:jc w:val="center"/>
            </w:pPr>
            <w:r/>
            <w:r>
              <w:rPr>
                <w:rFonts w:ascii="Segoe UI Light" w:hAnsi="Segoe UI Light"/>
                <w:sz w:val="18"/>
              </w:rPr>
              <w:t>−9.4</w:t>
            </w:r>
          </w:p>
        </w:tc>
        <w:tc>
          <w:tcPr>
            <w:tcW w:type="dxa" w:w="1814"/>
            <w:shd w:fill="F1F5F9" w:val="clear"/>
            <w:vAlign w:val="center"/>
          </w:tcPr>
          <w:p>
            <w:pPr>
              <w:keepNext/>
              <w:spacing w:after="60" w:before="60"/>
              <w:jc w:val="center"/>
            </w:pPr>
            <w:r/>
            <w:r>
              <w:rPr>
                <w:rFonts w:ascii="Segoe UI Light" w:hAnsi="Segoe UI Light"/>
                <w:sz w:val="18"/>
              </w:rPr>
              <w:t>−8.5</w:t>
            </w:r>
          </w:p>
        </w:tc>
        <w:tc>
          <w:tcPr>
            <w:tcW w:type="dxa" w:w="1814"/>
            <w:shd w:fill="F1F5F9" w:val="clear"/>
            <w:vAlign w:val="center"/>
          </w:tcPr>
          <w:p>
            <w:pPr>
              <w:keepNext/>
              <w:spacing w:after="60" w:before="60"/>
              <w:jc w:val="center"/>
            </w:pPr>
            <w:r/>
            <w:r>
              <w:rPr>
                <w:rFonts w:ascii="Segoe UI Light" w:hAnsi="Segoe UI Light"/>
                <w:sz w:val="18"/>
              </w:rPr>
              <w:t>+6.5</w:t>
            </w:r>
          </w:p>
        </w:tc>
        <w:tc>
          <w:tcPr>
            <w:tcW w:type="dxa" w:w="1814"/>
            <w:shd w:fill="F1F5F9" w:val="clear"/>
            <w:vAlign w:val="center"/>
          </w:tcPr>
          <w:p>
            <w:pPr>
              <w:keepNext/>
              <w:spacing w:after="60" w:before="60"/>
              <w:jc w:val="center"/>
            </w:pPr>
            <w:r/>
            <w:r>
              <w:rPr>
                <w:rFonts w:ascii="Segoe UI Light" w:hAnsi="Segoe UI Light"/>
                <w:sz w:val="18"/>
              </w:rPr>
              <w:t>−4.1</w:t>
            </w:r>
          </w:p>
        </w:tc>
      </w:tr>
      <w:tr>
        <w:trPr>
          <w:cantSplit/>
        </w:trPr>
        <w:tc>
          <w:tcPr>
            <w:tcW w:type="dxa" w:w="1814"/>
            <w:vAlign w:val="center"/>
          </w:tcPr>
          <w:p>
            <w:pPr>
              <w:keepNext/>
              <w:spacing w:after="60" w:before="60"/>
            </w:pPr>
            <w:r/>
            <w:r>
              <w:rPr>
                <w:rFonts w:ascii="Segoe UI Light" w:hAnsi="Segoe UI Light"/>
                <w:b/>
                <w:sz w:val="18"/>
              </w:rPr>
              <w:t>Emotional Demand</w:t>
            </w:r>
            <w:r>
              <w:rPr>
                <w:rFonts w:ascii="Segoe UI Light" w:hAnsi="Segoe UI Light"/>
                <w:sz w:val="18"/>
              </w:rPr>
              <w:t xml:space="preserve"> low</w:t>
            </w:r>
          </w:p>
        </w:tc>
        <w:tc>
          <w:tcPr>
            <w:tcW w:type="dxa" w:w="1814"/>
            <w:vAlign w:val="center"/>
          </w:tcPr>
          <w:p>
            <w:pPr>
              <w:keepNext/>
              <w:spacing w:after="60" w:before="60"/>
              <w:jc w:val="center"/>
            </w:pPr>
            <w:r/>
            <w:r>
              <w:rPr>
                <w:rFonts w:ascii="Segoe UI Light" w:hAnsi="Segoe UI Light"/>
                <w:sz w:val="18"/>
              </w:rPr>
              <w:t>−9.2</w:t>
            </w:r>
          </w:p>
        </w:tc>
        <w:tc>
          <w:tcPr>
            <w:tcW w:type="dxa" w:w="1814"/>
            <w:vAlign w:val="center"/>
          </w:tcPr>
          <w:p>
            <w:pPr>
              <w:keepNext/>
              <w:spacing w:after="60" w:before="60"/>
              <w:jc w:val="center"/>
            </w:pPr>
            <w:r/>
            <w:r>
              <w:rPr>
                <w:rFonts w:ascii="Segoe UI Light" w:hAnsi="Segoe UI Light"/>
                <w:sz w:val="18"/>
              </w:rPr>
              <w:t>−2.8</w:t>
            </w:r>
          </w:p>
        </w:tc>
        <w:tc>
          <w:tcPr>
            <w:tcW w:type="dxa" w:w="1814"/>
            <w:vAlign w:val="center"/>
          </w:tcPr>
          <w:p>
            <w:pPr>
              <w:keepNext/>
              <w:spacing w:after="60" w:before="60"/>
              <w:jc w:val="center"/>
            </w:pPr>
            <w:r/>
            <w:r>
              <w:rPr>
                <w:rFonts w:ascii="Segoe UI Light" w:hAnsi="Segoe UI Light"/>
                <w:sz w:val="18"/>
              </w:rPr>
              <w:t>0.0</w:t>
            </w:r>
          </w:p>
        </w:tc>
        <w:tc>
          <w:tcPr>
            <w:tcW w:type="dxa" w:w="1814"/>
            <w:vAlign w:val="center"/>
          </w:tcPr>
          <w:p>
            <w:pPr>
              <w:keepNext/>
              <w:spacing w:after="60" w:before="60"/>
              <w:jc w:val="center"/>
            </w:pPr>
            <w:r/>
            <w:r>
              <w:rPr>
                <w:rFonts w:ascii="Segoe UI Light" w:hAnsi="Segoe UI Light"/>
                <w:sz w:val="18"/>
              </w:rPr>
              <w:t>0.0</w:t>
            </w:r>
          </w:p>
        </w:tc>
      </w:tr>
      <w:tr>
        <w:trPr>
          <w:cantSplit/>
        </w:trPr>
        <w:tc>
          <w:tcPr>
            <w:tcW w:type="dxa" w:w="1814"/>
            <w:shd w:fill="F1F5F9" w:val="clear"/>
            <w:vAlign w:val="center"/>
          </w:tcPr>
          <w:p>
            <w:pPr>
              <w:keepNext/>
              <w:spacing w:after="60" w:before="60"/>
            </w:pPr>
            <w:r/>
            <w:r>
              <w:rPr>
                <w:rFonts w:ascii="Segoe UI Light" w:hAnsi="Segoe UI Light"/>
                <w:b/>
                <w:sz w:val="18"/>
              </w:rPr>
              <w:t>Recognition</w:t>
            </w:r>
            <w:r>
              <w:rPr>
                <w:rFonts w:ascii="Segoe UI Light" w:hAnsi="Segoe UI Light"/>
                <w:sz w:val="18"/>
              </w:rPr>
              <w:t xml:space="preserve"> high</w:t>
            </w:r>
          </w:p>
        </w:tc>
        <w:tc>
          <w:tcPr>
            <w:tcW w:type="dxa" w:w="1814"/>
            <w:shd w:fill="F1F5F9" w:val="clear"/>
            <w:vAlign w:val="center"/>
          </w:tcPr>
          <w:p>
            <w:pPr>
              <w:keepNext/>
              <w:spacing w:after="60" w:before="60"/>
              <w:jc w:val="center"/>
            </w:pPr>
            <w:r/>
            <w:r>
              <w:rPr>
                <w:rFonts w:ascii="Segoe UI Light" w:hAnsi="Segoe UI Light"/>
                <w:sz w:val="18"/>
              </w:rPr>
              <w:t>−5.1</w:t>
            </w:r>
          </w:p>
        </w:tc>
        <w:tc>
          <w:tcPr>
            <w:tcW w:type="dxa" w:w="1814"/>
            <w:shd w:fill="F1F5F9" w:val="clear"/>
            <w:vAlign w:val="center"/>
          </w:tcPr>
          <w:p>
            <w:pPr>
              <w:keepNext/>
              <w:spacing w:after="60" w:before="60"/>
              <w:jc w:val="center"/>
            </w:pPr>
            <w:r/>
            <w:r>
              <w:rPr>
                <w:rFonts w:ascii="Segoe UI Light" w:hAnsi="Segoe UI Light"/>
                <w:sz w:val="18"/>
              </w:rPr>
              <w:t>−2.6</w:t>
            </w:r>
          </w:p>
        </w:tc>
        <w:tc>
          <w:tcPr>
            <w:tcW w:type="dxa" w:w="1814"/>
            <w:shd w:fill="F1F5F9" w:val="clear"/>
            <w:vAlign w:val="center"/>
          </w:tcPr>
          <w:p>
            <w:pPr>
              <w:keepNext/>
              <w:spacing w:after="60" w:before="60"/>
              <w:jc w:val="center"/>
            </w:pPr>
            <w:r/>
            <w:r>
              <w:rPr>
                <w:rFonts w:ascii="Segoe UI Light" w:hAnsi="Segoe UI Light"/>
                <w:sz w:val="18"/>
              </w:rPr>
              <w:t>+10.8</w:t>
            </w:r>
          </w:p>
        </w:tc>
        <w:tc>
          <w:tcPr>
            <w:tcW w:type="dxa" w:w="1814"/>
            <w:shd w:fill="F1F5F9" w:val="clear"/>
            <w:vAlign w:val="center"/>
          </w:tcPr>
          <w:p>
            <w:pPr>
              <w:keepNext/>
              <w:spacing w:after="60" w:before="60"/>
              <w:jc w:val="center"/>
            </w:pPr>
            <w:r/>
            <w:r>
              <w:rPr>
                <w:rFonts w:ascii="Segoe UI Light" w:hAnsi="Segoe UI Light"/>
                <w:sz w:val="18"/>
              </w:rPr>
              <w:t>−7.5</w:t>
            </w:r>
          </w:p>
        </w:tc>
      </w:tr>
      <w:tr>
        <w:trPr>
          <w:cantSplit/>
        </w:trPr>
        <w:tc>
          <w:tcPr>
            <w:tcW w:type="dxa" w:w="1814"/>
            <w:vAlign w:val="center"/>
          </w:tcPr>
          <w:p>
            <w:pPr>
              <w:keepNext/>
              <w:spacing w:after="60" w:before="60"/>
            </w:pPr>
            <w:r/>
            <w:r>
              <w:rPr>
                <w:rFonts w:ascii="Segoe UI Light" w:hAnsi="Segoe UI Light"/>
                <w:b/>
                <w:sz w:val="18"/>
              </w:rPr>
              <w:t>Meaningful Work</w:t>
            </w:r>
            <w:r>
              <w:rPr>
                <w:rFonts w:ascii="Segoe UI Light" w:hAnsi="Segoe UI Light"/>
                <w:sz w:val="18"/>
              </w:rPr>
              <w:t xml:space="preserve"> high</w:t>
            </w:r>
          </w:p>
        </w:tc>
        <w:tc>
          <w:tcPr>
            <w:tcW w:type="dxa" w:w="1814"/>
            <w:vAlign w:val="center"/>
          </w:tcPr>
          <w:p>
            <w:pPr>
              <w:keepNext/>
              <w:spacing w:after="60" w:before="60"/>
              <w:jc w:val="center"/>
            </w:pPr>
            <w:r/>
            <w:r>
              <w:rPr>
                <w:rFonts w:ascii="Segoe UI Light" w:hAnsi="Segoe UI Light"/>
                <w:sz w:val="18"/>
              </w:rPr>
              <w:t>−3.8</w:t>
            </w:r>
          </w:p>
        </w:tc>
        <w:tc>
          <w:tcPr>
            <w:tcW w:type="dxa" w:w="1814"/>
            <w:vAlign w:val="center"/>
          </w:tcPr>
          <w:p>
            <w:pPr>
              <w:keepNext/>
              <w:spacing w:after="60" w:before="60"/>
              <w:jc w:val="center"/>
            </w:pPr>
            <w:r/>
            <w:r>
              <w:rPr>
                <w:rFonts w:ascii="Segoe UI Light" w:hAnsi="Segoe UI Light"/>
                <w:sz w:val="18"/>
              </w:rPr>
              <w:t>−1.2</w:t>
            </w:r>
          </w:p>
        </w:tc>
        <w:tc>
          <w:tcPr>
            <w:tcW w:type="dxa" w:w="1814"/>
            <w:vAlign w:val="center"/>
          </w:tcPr>
          <w:p>
            <w:pPr>
              <w:keepNext/>
              <w:spacing w:after="60" w:before="60"/>
              <w:jc w:val="center"/>
            </w:pPr>
            <w:r/>
            <w:r>
              <w:rPr>
                <w:rFonts w:ascii="Segoe UI Light" w:hAnsi="Segoe UI Light"/>
                <w:sz w:val="18"/>
              </w:rPr>
              <w:t>+12.0</w:t>
            </w:r>
          </w:p>
        </w:tc>
        <w:tc>
          <w:tcPr>
            <w:tcW w:type="dxa" w:w="1814"/>
            <w:vAlign w:val="center"/>
          </w:tcPr>
          <w:p>
            <w:pPr>
              <w:keepNext/>
              <w:spacing w:after="60" w:before="60"/>
              <w:jc w:val="center"/>
            </w:pPr>
            <w:r/>
            <w:r>
              <w:rPr>
                <w:rFonts w:ascii="Segoe UI Light" w:hAnsi="Segoe UI Light"/>
                <w:sz w:val="18"/>
              </w:rPr>
              <w:t>−9.3</w:t>
            </w:r>
          </w:p>
        </w:tc>
      </w:tr>
      <w:tr>
        <w:trPr>
          <w:cantSplit/>
        </w:trPr>
        <w:tc>
          <w:tcPr>
            <w:tcW w:type="dxa" w:w="1814"/>
            <w:shd w:fill="F1F5F9" w:val="clear"/>
            <w:vAlign w:val="center"/>
          </w:tcPr>
          <w:p>
            <w:pPr>
              <w:keepNext w:val="0"/>
              <w:spacing w:after="60" w:before="60"/>
            </w:pPr>
            <w:r/>
            <w:r>
              <w:rPr>
                <w:rFonts w:ascii="Segoe UI Light" w:hAnsi="Segoe UI Light"/>
                <w:b/>
                <w:sz w:val="18"/>
              </w:rPr>
              <w:t>Role Overload</w:t>
            </w:r>
            <w:r>
              <w:rPr>
                <w:rFonts w:ascii="Segoe UI Light" w:hAnsi="Segoe UI Light"/>
                <w:sz w:val="18"/>
              </w:rPr>
              <w:t xml:space="preserve"> low, </w:t>
            </w:r>
            <w:r>
              <w:rPr>
                <w:rFonts w:ascii="Segoe UI Light" w:hAnsi="Segoe UI Light"/>
                <w:b/>
                <w:sz w:val="18"/>
              </w:rPr>
              <w:t>Recognition</w:t>
            </w:r>
            <w:r>
              <w:rPr>
                <w:rFonts w:ascii="Segoe UI Light" w:hAnsi="Segoe UI Light"/>
                <w:sz w:val="18"/>
              </w:rPr>
              <w:t xml:space="preserve"> high, </w:t>
            </w:r>
            <w:r>
              <w:rPr>
                <w:rFonts w:ascii="Segoe UI Light" w:hAnsi="Segoe UI Light"/>
                <w:b/>
                <w:sz w:val="18"/>
              </w:rPr>
              <w:t>Meaningful Work</w:t>
            </w:r>
            <w:r>
              <w:rPr>
                <w:rFonts w:ascii="Segoe UI Light" w:hAnsi="Segoe UI Light"/>
                <w:sz w:val="18"/>
              </w:rPr>
              <w:t xml:space="preserve"> high</w:t>
            </w:r>
          </w:p>
        </w:tc>
        <w:tc>
          <w:tcPr>
            <w:tcW w:type="dxa" w:w="1814"/>
            <w:shd w:fill="F1F5F9" w:val="clear"/>
            <w:vAlign w:val="center"/>
          </w:tcPr>
          <w:p>
            <w:pPr>
              <w:keepNext w:val="0"/>
              <w:spacing w:after="60" w:before="60"/>
              <w:jc w:val="center"/>
            </w:pPr>
            <w:r/>
            <w:r>
              <w:rPr>
                <w:rFonts w:ascii="Segoe UI Light" w:hAnsi="Segoe UI Light"/>
                <w:sz w:val="18"/>
              </w:rPr>
              <w:t>−19.6</w:t>
            </w:r>
          </w:p>
        </w:tc>
        <w:tc>
          <w:tcPr>
            <w:tcW w:type="dxa" w:w="1814"/>
            <w:shd w:fill="F1F5F9" w:val="clear"/>
            <w:vAlign w:val="center"/>
          </w:tcPr>
          <w:p>
            <w:pPr>
              <w:keepNext w:val="0"/>
              <w:spacing w:after="60" w:before="60"/>
              <w:jc w:val="center"/>
            </w:pPr>
            <w:r/>
            <w:r>
              <w:rPr>
                <w:rFonts w:ascii="Segoe UI Light" w:hAnsi="Segoe UI Light"/>
                <w:sz w:val="18"/>
              </w:rPr>
              <w:t>−9.6</w:t>
            </w:r>
          </w:p>
        </w:tc>
        <w:tc>
          <w:tcPr>
            <w:tcW w:type="dxa" w:w="1814"/>
            <w:shd w:fill="F1F5F9" w:val="clear"/>
            <w:vAlign w:val="center"/>
          </w:tcPr>
          <w:p>
            <w:pPr>
              <w:keepNext w:val="0"/>
              <w:spacing w:after="60" w:before="60"/>
              <w:jc w:val="center"/>
            </w:pPr>
            <w:r/>
            <w:r>
              <w:rPr>
                <w:rFonts w:ascii="Segoe UI Light" w:hAnsi="Segoe UI Light"/>
                <w:sz w:val="18"/>
              </w:rPr>
              <w:t>+21.5</w:t>
            </w:r>
          </w:p>
        </w:tc>
        <w:tc>
          <w:tcPr>
            <w:tcW w:type="dxa" w:w="1814"/>
            <w:shd w:fill="F1F5F9" w:val="clear"/>
            <w:vAlign w:val="center"/>
          </w:tcPr>
          <w:p>
            <w:pPr>
              <w:keepNext w:val="0"/>
              <w:spacing w:after="60" w:before="60"/>
              <w:jc w:val="center"/>
            </w:pPr>
            <w:r/>
            <w:r>
              <w:rPr>
                <w:rFonts w:ascii="Segoe UI Light" w:hAnsi="Segoe UI Light"/>
                <w:sz w:val="18"/>
              </w:rPr>
              <w:t>−12.2</w:t>
            </w:r>
          </w:p>
        </w:tc>
      </w:tr>
    </w:tbl>
    <w:p>
      <w:pPr>
        <w:spacing w:after="0"/>
      </w:pPr>
    </w:p>
    <w:p>
      <w:bookmarkStart w:id="11" w:name="_PWToc11"/>
      <w:pPr>
        <w:pStyle w:val="Heading2"/>
      </w:pPr>
      <w:r>
        <w:rPr>
          <w:rFonts w:ascii="Segoe UI Light" w:hAnsi="Segoe UI Light"/>
          <w:b/>
          <w:color w:val="2D5A8E"/>
          <w:sz w:val="22"/>
        </w:rPr>
        <w:t>A caution about simplifying work</w:t>
      </w:r>
      <w:bookmarkEnd w:id="11"/>
    </w:p>
    <w:p>
      <w:pPr>
        <w:spacing w:after="120"/>
      </w:pPr>
      <w:r>
        <w:rPr>
          <w:rFonts w:ascii="Segoe UI Light" w:hAnsi="Segoe UI Light"/>
          <w:sz w:val="21"/>
        </w:rPr>
        <w:t xml:space="preserve">One factor outside the focus needs a brief caution. In the model, moving all workers to low </w:t>
      </w:r>
      <w:r>
        <w:rPr>
          <w:rFonts w:ascii="Segoe UI Light" w:hAnsi="Segoe UI Light"/>
          <w:b/>
          <w:sz w:val="21"/>
        </w:rPr>
        <w:t>Cognitive Demand</w:t>
      </w:r>
      <w:r>
        <w:rPr>
          <w:rFonts w:ascii="Segoe UI Light" w:hAnsi="Segoe UI Light"/>
          <w:sz w:val="21"/>
        </w:rPr>
        <w:t xml:space="preserve">, meaning less mental effort, complexity and decision-making, reduces the high </w:t>
      </w:r>
      <w:r>
        <w:rPr>
          <w:rFonts w:ascii="Segoe UI Light" w:hAnsi="Segoe UI Light"/>
          <w:b/>
          <w:sz w:val="21"/>
        </w:rPr>
        <w:t>Work Engagement</w:t>
      </w:r>
      <w:r>
        <w:rPr>
          <w:rFonts w:ascii="Segoe UI Light" w:hAnsi="Segoe UI Light"/>
          <w:sz w:val="21"/>
        </w:rPr>
        <w:t xml:space="preserve"> category by about 18 percentage points. It also slightly reduces the low </w:t>
      </w:r>
      <w:r>
        <w:rPr>
          <w:rFonts w:ascii="Segoe UI Light" w:hAnsi="Segoe UI Light"/>
          <w:b/>
          <w:sz w:val="21"/>
        </w:rPr>
        <w:t>Burnout</w:t>
      </w:r>
      <w:r>
        <w:rPr>
          <w:rFonts w:ascii="Segoe UI Light" w:hAnsi="Segoe UI Light"/>
          <w:sz w:val="21"/>
        </w:rPr>
        <w:t xml:space="preserve"> category. If workload is reduced by stripping out complex or challenging tasks rather than reducing volume and time pressure, engagement could suffer. Separately, some factors show no estimated effect on these outcomes in this model. This reflects how the model is built. It does not show that those conditions are unimportant at Test Org.</w:t>
      </w:r>
    </w:p>
    <w:p>
      <w:bookmarkStart w:id="12" w:name="_PWToc12"/>
      <w:pPr>
        <w:pStyle w:val="Heading2"/>
      </w:pPr>
      <w:r>
        <w:rPr>
          <w:rFonts w:ascii="Segoe UI Light" w:hAnsi="Segoe UI Light"/>
          <w:b/>
          <w:color w:val="2D5A8E"/>
          <w:sz w:val="22"/>
        </w:rPr>
        <w:t>What remains to be established locally</w:t>
      </w:r>
      <w:bookmarkEnd w:id="12"/>
    </w:p>
    <w:p>
      <w:pPr>
        <w:spacing w:after="120"/>
      </w:pPr>
      <w:r>
        <w:rPr>
          <w:rFonts w:ascii="Segoe UI Light" w:hAnsi="Segoe UI Light"/>
          <w:sz w:val="21"/>
        </w:rPr>
        <w:t>The model points to where attention is likely to pay off. It cannot show:</w:t>
      </w:r>
    </w:p>
    <w:p>
      <w:pPr>
        <w:pStyle w:val="ListBullet"/>
        <w:spacing w:after="60"/>
      </w:pPr>
      <w:r>
        <w:rPr>
          <w:rFonts w:ascii="Segoe UI Light" w:hAnsi="Segoe UI Light"/>
          <w:sz w:val="21"/>
        </w:rPr>
        <w:t>whether these conditions are present at Test Org, or at what level</w:t>
      </w:r>
    </w:p>
    <w:p>
      <w:pPr>
        <w:pStyle w:val="ListBullet"/>
        <w:spacing w:after="60"/>
      </w:pPr>
      <w:r>
        <w:rPr>
          <w:rFonts w:ascii="Segoe UI Light" w:hAnsi="Segoe UI Light"/>
          <w:sz w:val="21"/>
        </w:rPr>
        <w:t>which teams or roles are most affected</w:t>
      </w:r>
    </w:p>
    <w:p>
      <w:pPr>
        <w:pStyle w:val="ListBullet"/>
        <w:spacing w:after="60"/>
      </w:pPr>
      <w:r>
        <w:rPr>
          <w:rFonts w:ascii="Segoe UI Light" w:hAnsi="Segoe UI Light"/>
          <w:sz w:val="21"/>
        </w:rPr>
        <w:t>what is driving them locally.</w:t>
      </w:r>
    </w:p>
    <w:p>
      <w:pPr>
        <w:spacing w:after="120"/>
      </w:pPr>
      <w:r>
        <w:rPr>
          <w:rFonts w:ascii="Segoe UI Light" w:hAnsi="Segoe UI Light"/>
          <w:sz w:val="21"/>
        </w:rPr>
        <w:t>These questions need local assessment and consultation before leaders commit major resources.</w:t>
      </w:r>
    </w:p>
    <w:p>
      <w:bookmarkStart w:id="13" w:name="_PWToc13"/>
      <w:pPr>
        <w:pStyle w:val="Heading1"/>
      </w:pPr>
      <w:r>
        <w:rPr>
          <w:rFonts w:ascii="Segoe UI Light" w:hAnsi="Segoe UI Light"/>
          <w:b/>
          <w:color w:val="1E3A5F"/>
          <w:sz w:val="28"/>
        </w:rPr>
        <w:t>Recommended Next Steps</w:t>
      </w:r>
      <w:bookmarkEnd w:id="13"/>
    </w:p>
    <w:p>
      <w:pPr>
        <w:spacing w:after="120"/>
      </w:pPr>
      <w:r>
        <w:rPr>
          <w:rFonts w:ascii="Segoe UI Light" w:hAnsi="Segoe UI Light"/>
          <w:sz w:val="21"/>
        </w:rPr>
        <w:t>The steps below follow from the findings. Because no local measurement, existing initiatives or resourcing details were supplied, the practical options described are suggestions to be tested against local conditions, not established causes or guaranteed effects.</w:t>
      </w:r>
    </w:p>
    <w:p>
      <w:bookmarkStart w:id="14" w:name="_PWToc14"/>
      <w:pPr>
        <w:pStyle w:val="Heading2"/>
      </w:pPr>
      <w:r>
        <w:rPr>
          <w:rFonts w:ascii="Segoe UI Light" w:hAnsi="Segoe UI Light"/>
          <w:b/>
          <w:color w:val="2D5A8E"/>
          <w:sz w:val="22"/>
        </w:rPr>
        <w:t>1. Run a first local assessment</w:t>
      </w:r>
      <w:bookmarkEnd w:id="14"/>
    </w:p>
    <w:p>
      <w:pPr>
        <w:spacing w:after="120"/>
      </w:pPr>
      <w:r>
        <w:rPr>
          <w:rFonts w:ascii="Segoe UI Light" w:hAnsi="Segoe UI Light"/>
          <w:sz w:val="21"/>
        </w:rPr>
        <w:t>No local baseline exists, so the first step is to measure the five focus factors and the three outcomes among Test Org workers. The assessment should be broken down by work area and role type where group sizes allow confidential reporting. It would show whether the general-model pattern applies locally and where conditions are concentrated. It would also give leaders a recorded baseline for checking progress later.</w:t>
      </w:r>
    </w:p>
    <w:p>
      <w:pPr>
        <w:pStyle w:val="ListBullet"/>
        <w:spacing w:after="60"/>
      </w:pPr>
      <w:r>
        <w:rPr>
          <w:rFonts w:ascii="Segoe UI Light" w:hAnsi="Segoe UI Light"/>
          <w:b/>
          <w:sz w:val="21"/>
        </w:rPr>
        <w:t>Who could decide:</w:t>
      </w:r>
      <w:r>
        <w:rPr>
          <w:rFonts w:ascii="Segoe UI Light" w:hAnsi="Segoe UI Light"/>
          <w:sz w:val="21"/>
        </w:rPr>
        <w:t xml:space="preserve"> an executive sponsor, supported by the people and safety leads, with workers and any health and safety representatives involved in the design.</w:t>
      </w:r>
    </w:p>
    <w:p>
      <w:pPr>
        <w:pStyle w:val="ListBullet"/>
        <w:spacing w:after="60"/>
      </w:pPr>
      <w:r>
        <w:rPr>
          <w:rFonts w:ascii="Segoe UI Light" w:hAnsi="Segoe UI Light"/>
          <w:b/>
          <w:sz w:val="21"/>
        </w:rPr>
        <w:t>Before starting:</w:t>
      </w:r>
      <w:r>
        <w:rPr>
          <w:rFonts w:ascii="Segoe UI Light" w:hAnsi="Segoe UI Light"/>
          <w:sz w:val="21"/>
        </w:rPr>
        <w:t xml:space="preserve"> map any existing programs, such as wellbeing, leadership development or recognition schemes. This avoids duplication and shows which current supports should be kept.</w:t>
      </w:r>
    </w:p>
    <w:p>
      <w:bookmarkStart w:id="15" w:name="_PWToc15"/>
      <w:pPr>
        <w:pStyle w:val="Heading2"/>
      </w:pPr>
      <w:r>
        <w:rPr>
          <w:rFonts w:ascii="Segoe UI Light" w:hAnsi="Segoe UI Light"/>
          <w:b/>
          <w:color w:val="2D5A8E"/>
          <w:sz w:val="22"/>
        </w:rPr>
        <w:t>2. Consult workers on workload and work-life demands</w:t>
      </w:r>
      <w:bookmarkEnd w:id="15"/>
    </w:p>
    <w:p>
      <w:pPr>
        <w:spacing w:after="120"/>
      </w:pPr>
      <w:r>
        <w:rPr>
          <w:rFonts w:ascii="Segoe UI Light" w:hAnsi="Segoe UI Light"/>
          <w:b/>
          <w:sz w:val="21"/>
        </w:rPr>
        <w:t>Role Overload</w:t>
      </w:r>
      <w:r>
        <w:rPr>
          <w:rFonts w:ascii="Segoe UI Light" w:hAnsi="Segoe UI Light"/>
          <w:sz w:val="21"/>
        </w:rPr>
        <w:t xml:space="preserve"> and </w:t>
      </w:r>
      <w:r>
        <w:rPr>
          <w:rFonts w:ascii="Segoe UI Light" w:hAnsi="Segoe UI Light"/>
          <w:b/>
          <w:sz w:val="21"/>
        </w:rPr>
        <w:t>Work Life Conflict</w:t>
      </w:r>
      <w:r>
        <w:rPr>
          <w:rFonts w:ascii="Segoe UI Light" w:hAnsi="Segoe UI Light"/>
          <w:sz w:val="21"/>
        </w:rPr>
        <w:t xml:space="preserve"> show the largest estimated reductions in the high </w:t>
      </w:r>
      <w:r>
        <w:rPr>
          <w:rFonts w:ascii="Segoe UI Light" w:hAnsi="Segoe UI Light"/>
          <w:b/>
          <w:sz w:val="21"/>
        </w:rPr>
        <w:t>Burnout</w:t>
      </w:r>
      <w:r>
        <w:rPr>
          <w:rFonts w:ascii="Segoe UI Light" w:hAnsi="Segoe UI Light"/>
          <w:sz w:val="21"/>
        </w:rPr>
        <w:t xml:space="preserve"> and high </w:t>
      </w:r>
      <w:r>
        <w:rPr>
          <w:rFonts w:ascii="Segoe UI Light" w:hAnsi="Segoe UI Light"/>
          <w:b/>
          <w:sz w:val="21"/>
        </w:rPr>
        <w:t>Psych Distress</w:t>
      </w:r>
      <w:r>
        <w:rPr>
          <w:rFonts w:ascii="Segoe UI Light" w:hAnsi="Segoe UI Light"/>
          <w:sz w:val="21"/>
        </w:rPr>
        <w:t xml:space="preserve"> categories. Consultation should establish four things:</w:t>
      </w:r>
    </w:p>
    <w:p>
      <w:pPr>
        <w:pStyle w:val="ListBullet"/>
        <w:spacing w:after="60"/>
      </w:pPr>
      <w:r>
        <w:rPr>
          <w:rFonts w:ascii="Segoe UI Light" w:hAnsi="Segoe UI Light"/>
          <w:sz w:val="21"/>
        </w:rPr>
        <w:t>where demands most often exceed what workers can manage</w:t>
      </w:r>
    </w:p>
    <w:p>
      <w:pPr>
        <w:pStyle w:val="ListBullet"/>
        <w:spacing w:after="60"/>
      </w:pPr>
      <w:r>
        <w:rPr>
          <w:rFonts w:ascii="Segoe UI Light" w:hAnsi="Segoe UI Light"/>
          <w:sz w:val="21"/>
        </w:rPr>
        <w:t>the main sources, such as staffing levels, deadlines, competing priorities, after-hours contact or unpredictable rosters</w:t>
      </w:r>
    </w:p>
    <w:p>
      <w:pPr>
        <w:pStyle w:val="ListBullet"/>
        <w:spacing w:after="60"/>
      </w:pPr>
      <w:r>
        <w:rPr>
          <w:rFonts w:ascii="Segoe UI Light" w:hAnsi="Segoe UI Light"/>
          <w:sz w:val="21"/>
        </w:rPr>
        <w:t>whether problems are concentrated in particular teams or spread widely</w:t>
      </w:r>
    </w:p>
    <w:p>
      <w:pPr>
        <w:pStyle w:val="ListBullet"/>
        <w:spacing w:after="60"/>
      </w:pPr>
      <w:r>
        <w:rPr>
          <w:rFonts w:ascii="Segoe UI Light" w:hAnsi="Segoe UI Light"/>
          <w:sz w:val="21"/>
        </w:rPr>
        <w:t>whether proposed changes would shift work onto other workers.</w:t>
      </w:r>
    </w:p>
    <w:p>
      <w:pPr>
        <w:spacing w:after="120"/>
      </w:pPr>
      <w:r>
        <w:rPr>
          <w:rFonts w:ascii="Segoe UI Light" w:hAnsi="Segoe UI Light"/>
          <w:sz w:val="21"/>
        </w:rPr>
        <w:t>The answers shape the decision. If problems are concentrated, targeted changes in those areas are the sensible response. If they are widespread, the issue is a resourcing and prioritisation decision for senior leaders.</w:t>
      </w:r>
    </w:p>
    <w:p>
      <w:pPr>
        <w:spacing w:after="120"/>
      </w:pPr>
      <w:r>
        <w:rPr>
          <w:rFonts w:ascii="Segoe UI Light" w:hAnsi="Segoe UI Light"/>
          <w:sz w:val="21"/>
        </w:rPr>
        <w:t>Practical options to test include:</w:t>
      </w:r>
    </w:p>
    <w:p>
      <w:pPr>
        <w:pStyle w:val="ListBullet"/>
        <w:spacing w:after="60"/>
      </w:pPr>
      <w:r>
        <w:rPr>
          <w:rFonts w:ascii="Segoe UI Light" w:hAnsi="Segoe UI Light"/>
          <w:sz w:val="21"/>
        </w:rPr>
        <w:t>clarifying priorities and pausing lower-value work</w:t>
      </w:r>
    </w:p>
    <w:p>
      <w:pPr>
        <w:pStyle w:val="ListBullet"/>
        <w:spacing w:after="60"/>
      </w:pPr>
      <w:r>
        <w:rPr>
          <w:rFonts w:ascii="Segoe UI Light" w:hAnsi="Segoe UI Light"/>
          <w:sz w:val="21"/>
        </w:rPr>
        <w:t>adjusting staffing or deadlines</w:t>
      </w:r>
    </w:p>
    <w:p>
      <w:pPr>
        <w:pStyle w:val="ListBullet"/>
        <w:spacing w:after="60"/>
      </w:pPr>
      <w:r>
        <w:rPr>
          <w:rFonts w:ascii="Segoe UI Light" w:hAnsi="Segoe UI Light"/>
          <w:sz w:val="21"/>
        </w:rPr>
        <w:t>setting expectations about after-hours contact</w:t>
      </w:r>
    </w:p>
    <w:p>
      <w:pPr>
        <w:pStyle w:val="ListBullet"/>
        <w:spacing w:after="60"/>
      </w:pPr>
      <w:r>
        <w:rPr>
          <w:rFonts w:ascii="Segoe UI Light" w:hAnsi="Segoe UI Light"/>
          <w:sz w:val="21"/>
        </w:rPr>
        <w:t>giving earlier notice of rosters and changes.</w:t>
      </w:r>
    </w:p>
    <w:p>
      <w:pPr>
        <w:spacing w:after="120"/>
      </w:pPr>
      <w:r>
        <w:rPr>
          <w:rFonts w:ascii="Segoe UI Light" w:hAnsi="Segoe UI Light"/>
          <w:sz w:val="21"/>
        </w:rPr>
        <w:t xml:space="preserve">Reductions should target volume and time pressure, keeping the complex and meaningful parts of roles given the </w:t>
      </w:r>
      <w:r>
        <w:rPr>
          <w:rFonts w:ascii="Segoe UI Light" w:hAnsi="Segoe UI Light"/>
          <w:b/>
          <w:sz w:val="21"/>
        </w:rPr>
        <w:t>Cognitive Demand</w:t>
      </w:r>
      <w:r>
        <w:rPr>
          <w:rFonts w:ascii="Segoe UI Light" w:hAnsi="Segoe UI Light"/>
          <w:sz w:val="21"/>
        </w:rPr>
        <w:t xml:space="preserve"> and </w:t>
      </w:r>
      <w:r>
        <w:rPr>
          <w:rFonts w:ascii="Segoe UI Light" w:hAnsi="Segoe UI Light"/>
          <w:b/>
          <w:sz w:val="21"/>
        </w:rPr>
        <w:t>Meaningful Work</w:t>
      </w:r>
      <w:r>
        <w:rPr>
          <w:rFonts w:ascii="Segoe UI Light" w:hAnsi="Segoe UI Light"/>
          <w:sz w:val="21"/>
        </w:rPr>
        <w:t xml:space="preserve"> findings.</w:t>
      </w:r>
    </w:p>
    <w:p>
      <w:bookmarkStart w:id="16" w:name="_PWToc16"/>
      <w:pPr>
        <w:pStyle w:val="Heading2"/>
      </w:pPr>
      <w:r>
        <w:rPr>
          <w:rFonts w:ascii="Segoe UI Light" w:hAnsi="Segoe UI Light"/>
          <w:b/>
          <w:color w:val="2D5A8E"/>
          <w:sz w:val="22"/>
        </w:rPr>
        <w:t>3. Act promptly where harmful conditions are found</w:t>
      </w:r>
      <w:bookmarkEnd w:id="16"/>
    </w:p>
    <w:p>
      <w:pPr>
        <w:spacing w:after="120"/>
      </w:pPr>
      <w:r>
        <w:rPr>
          <w:rFonts w:ascii="Segoe UI Light" w:hAnsi="Segoe UI Light"/>
          <w:sz w:val="21"/>
        </w:rPr>
        <w:t>Harm is not yet established at Test Org. If the assessment or consultation identifies harmful conditions, managers should act without waiting for longer-term redesign. Examples include sustained excessive hours, regular exposure to distressing interactions without support, or workers reporting that they cannot cope. Interim protections could include:</w:t>
      </w:r>
    </w:p>
    <w:p>
      <w:pPr>
        <w:pStyle w:val="ListBullet"/>
        <w:spacing w:after="60"/>
      </w:pPr>
      <w:r>
        <w:rPr>
          <w:rFonts w:ascii="Segoe UI Light" w:hAnsi="Segoe UI Light"/>
          <w:sz w:val="21"/>
        </w:rPr>
        <w:t>temporary reallocation or extra resourcing</w:t>
      </w:r>
    </w:p>
    <w:p>
      <w:pPr>
        <w:pStyle w:val="ListBullet"/>
        <w:spacing w:after="60"/>
      </w:pPr>
      <w:r>
        <w:rPr>
          <w:rFonts w:ascii="Segoe UI Light" w:hAnsi="Segoe UI Light"/>
          <w:sz w:val="21"/>
        </w:rPr>
        <w:t>limiting overtime</w:t>
      </w:r>
    </w:p>
    <w:p>
      <w:pPr>
        <w:pStyle w:val="ListBullet"/>
        <w:spacing w:after="60"/>
      </w:pPr>
      <w:r>
        <w:rPr>
          <w:rFonts w:ascii="Segoe UI Light" w:hAnsi="Segoe UI Light"/>
          <w:sz w:val="21"/>
        </w:rPr>
        <w:t>checking in with affected workers</w:t>
      </w:r>
    </w:p>
    <w:p>
      <w:pPr>
        <w:pStyle w:val="ListBullet"/>
        <w:spacing w:after="60"/>
      </w:pPr>
      <w:r>
        <w:rPr>
          <w:rFonts w:ascii="Segoe UI Light" w:hAnsi="Segoe UI Light"/>
          <w:sz w:val="21"/>
        </w:rPr>
        <w:t>making sure they know how to access support.</w:t>
      </w:r>
    </w:p>
    <w:p>
      <w:pPr>
        <w:spacing w:after="120"/>
      </w:pPr>
      <w:r>
        <w:rPr>
          <w:rFonts w:ascii="Segoe UI Light" w:hAnsi="Segoe UI Light"/>
          <w:sz w:val="21"/>
        </w:rPr>
        <w:t>Longer-term changes to job design and resourcing can then follow.</w:t>
      </w:r>
    </w:p>
    <w:p>
      <w:bookmarkStart w:id="17" w:name="_PWToc17"/>
      <w:pPr>
        <w:pStyle w:val="Heading2"/>
      </w:pPr>
      <w:r>
        <w:rPr>
          <w:rFonts w:ascii="Segoe UI Light" w:hAnsi="Segoe UI Light"/>
          <w:b/>
          <w:color w:val="2D5A8E"/>
          <w:sz w:val="22"/>
        </w:rPr>
        <w:t>4. Identify and support roles with high emotional demand</w:t>
      </w:r>
      <w:bookmarkEnd w:id="17"/>
    </w:p>
    <w:p>
      <w:pPr>
        <w:spacing w:after="120"/>
      </w:pPr>
      <w:r>
        <w:rPr>
          <w:rFonts w:ascii="Segoe UI Light" w:hAnsi="Segoe UI Light"/>
          <w:sz w:val="21"/>
        </w:rPr>
        <w:t xml:space="preserve">The high </w:t>
      </w:r>
      <w:r>
        <w:rPr>
          <w:rFonts w:ascii="Segoe UI Light" w:hAnsi="Segoe UI Light"/>
          <w:b/>
          <w:sz w:val="21"/>
        </w:rPr>
        <w:t>Burnout</w:t>
      </w:r>
      <w:r>
        <w:rPr>
          <w:rFonts w:ascii="Segoe UI Light" w:hAnsi="Segoe UI Light"/>
          <w:sz w:val="21"/>
        </w:rPr>
        <w:t xml:space="preserve"> category is estimated to fall by about 9 percentage points under low </w:t>
      </w:r>
      <w:r>
        <w:rPr>
          <w:rFonts w:ascii="Segoe UI Light" w:hAnsi="Segoe UI Light"/>
          <w:b/>
          <w:sz w:val="21"/>
        </w:rPr>
        <w:t>Emotional Demand</w:t>
      </w:r>
      <w:r>
        <w:rPr>
          <w:rFonts w:ascii="Segoe UI Light" w:hAnsi="Segoe UI Light"/>
          <w:sz w:val="21"/>
        </w:rPr>
        <w:t>. Leaders should therefore identify which roles regularly involve distressing or emotionally charged interactions. Consultation with workers in those roles should establish what situations are hardest and what support already exists. Options include:</w:t>
      </w:r>
    </w:p>
    <w:p>
      <w:pPr>
        <w:pStyle w:val="ListBullet"/>
        <w:spacing w:after="60"/>
      </w:pPr>
      <w:r>
        <w:rPr>
          <w:rFonts w:ascii="Segoe UI Light" w:hAnsi="Segoe UI Light"/>
          <w:sz w:val="21"/>
        </w:rPr>
        <w:t>structured debriefing after difficult incidents</w:t>
      </w:r>
    </w:p>
    <w:p>
      <w:pPr>
        <w:pStyle w:val="ListBullet"/>
        <w:spacing w:after="60"/>
      </w:pPr>
      <w:r>
        <w:rPr>
          <w:rFonts w:ascii="Segoe UI Light" w:hAnsi="Segoe UI Light"/>
          <w:sz w:val="21"/>
        </w:rPr>
        <w:t>rotation away from the most demanding tasks</w:t>
      </w:r>
    </w:p>
    <w:p>
      <w:pPr>
        <w:pStyle w:val="ListBullet"/>
        <w:spacing w:after="60"/>
      </w:pPr>
      <w:r>
        <w:rPr>
          <w:rFonts w:ascii="Segoe UI Light" w:hAnsi="Segoe UI Light"/>
          <w:sz w:val="21"/>
        </w:rPr>
        <w:t>clear escalation paths for aggressive or distressing contacts</w:t>
      </w:r>
    </w:p>
    <w:p>
      <w:pPr>
        <w:pStyle w:val="ListBullet"/>
        <w:spacing w:after="60"/>
      </w:pPr>
      <w:r>
        <w:rPr>
          <w:rFonts w:ascii="Segoe UI Light" w:hAnsi="Segoe UI Light"/>
          <w:sz w:val="21"/>
        </w:rPr>
        <w:t>training and access to support services.</w:t>
      </w:r>
    </w:p>
    <w:p>
      <w:bookmarkStart w:id="18" w:name="_PWToc18"/>
      <w:pPr>
        <w:pStyle w:val="Heading2"/>
      </w:pPr>
      <w:r>
        <w:rPr>
          <w:rFonts w:ascii="Segoe UI Light" w:hAnsi="Segoe UI Light"/>
          <w:b/>
          <w:color w:val="2D5A8E"/>
          <w:sz w:val="22"/>
        </w:rPr>
        <w:t>5. Protect and strengthen recognition and meaningful work</w:t>
      </w:r>
      <w:bookmarkEnd w:id="18"/>
    </w:p>
    <w:p>
      <w:pPr>
        <w:spacing w:after="120"/>
      </w:pPr>
      <w:r>
        <w:rPr>
          <w:rFonts w:ascii="Segoe UI Light" w:hAnsi="Segoe UI Light"/>
          <w:sz w:val="21"/>
        </w:rPr>
        <w:t xml:space="preserve">These factors show the largest estimated gains in the high </w:t>
      </w:r>
      <w:r>
        <w:rPr>
          <w:rFonts w:ascii="Segoe UI Light" w:hAnsi="Segoe UI Light"/>
          <w:b/>
          <w:sz w:val="21"/>
        </w:rPr>
        <w:t>Work Engagement</w:t>
      </w:r>
      <w:r>
        <w:rPr>
          <w:rFonts w:ascii="Segoe UI Light" w:hAnsi="Segoe UI Light"/>
          <w:sz w:val="21"/>
        </w:rPr>
        <w:t xml:space="preserve"> category. The combined scenario also suggests they balance the small engagement trade-off of workload relief. Consultation should establish three things:</w:t>
      </w:r>
    </w:p>
    <w:p>
      <w:pPr>
        <w:pStyle w:val="ListBullet"/>
        <w:spacing w:after="60"/>
      </w:pPr>
      <w:r>
        <w:rPr>
          <w:rFonts w:ascii="Segoe UI Light" w:hAnsi="Segoe UI Light"/>
          <w:sz w:val="21"/>
        </w:rPr>
        <w:t>whether workers see recognition, pay and progression as fair</w:t>
      </w:r>
    </w:p>
    <w:p>
      <w:pPr>
        <w:pStyle w:val="ListBullet"/>
        <w:spacing w:after="60"/>
      </w:pPr>
      <w:r>
        <w:rPr>
          <w:rFonts w:ascii="Segoe UI Light" w:hAnsi="Segoe UI Light"/>
          <w:sz w:val="21"/>
        </w:rPr>
        <w:t>what makes their work feel worthwhile</w:t>
      </w:r>
    </w:p>
    <w:p>
      <w:pPr>
        <w:pStyle w:val="ListBullet"/>
        <w:spacing w:after="60"/>
      </w:pPr>
      <w:r>
        <w:rPr>
          <w:rFonts w:ascii="Segoe UI Light" w:hAnsi="Segoe UI Light"/>
          <w:sz w:val="21"/>
        </w:rPr>
        <w:t>whether recent changes have reduced either.</w:t>
      </w:r>
    </w:p>
    <w:p>
      <w:pPr>
        <w:spacing w:after="120"/>
      </w:pPr>
      <w:r>
        <w:rPr>
          <w:rFonts w:ascii="Segoe UI Light" w:hAnsi="Segoe UI Light"/>
          <w:sz w:val="21"/>
        </w:rPr>
        <w:t>Options include regular, specific feedback from managers, fair and transparent progression processes, and helping workers see how their work contributes to the organisation's purpose. Because the model's starting estimates suggest many workers already experience these conditions favourably, the priority is to keep them from eroding during workload or organisational change.</w:t>
      </w:r>
    </w:p>
    <w:p>
      <w:bookmarkStart w:id="19" w:name="_PWToc19"/>
      <w:pPr>
        <w:pStyle w:val="Heading2"/>
      </w:pPr>
      <w:r>
        <w:rPr>
          <w:rFonts w:ascii="Segoe UI Light" w:hAnsi="Segoe UI Light"/>
          <w:b/>
          <w:color w:val="2D5A8E"/>
          <w:sz w:val="22"/>
        </w:rPr>
        <w:t>6. Assign ownership and check progress</w:t>
      </w:r>
      <w:bookmarkEnd w:id="19"/>
    </w:p>
    <w:p>
      <w:pPr>
        <w:spacing w:after="120"/>
      </w:pPr>
      <w:r>
        <w:rPr>
          <w:rFonts w:ascii="Segoe UI Light" w:hAnsi="Segoe UI Light"/>
          <w:sz w:val="21"/>
        </w:rPr>
        <w:t>The table below suggests owners and checks for each step. Records of any workload, work-life or emotional-demand hazards identified should be kept in the organisation's risk register with named owners.</w:t>
      </w:r>
    </w:p>
    <w:tbl>
      <w:tblPr>
        <w:tblStyle w:val="TableGrid"/>
        <w:tblLayout w:type="fixed"/>
        <w:tblLook w:firstColumn="1" w:firstRow="1" w:lastColumn="0" w:lastRow="0" w:noHBand="0" w:noVBand="1" w:val="04A0"/>
        <w:tblW w:w="5000" w:type="pct"/>
      </w:tblPr>
      <w:tblGrid>
        <w:gridCol w:w="3024"/>
        <w:gridCol w:w="3024"/>
        <w:gridCol w:w="3024"/>
      </w:tblGrid>
      <w:tr>
        <w:trPr>
          <w:tblHeader/>
          <w:cantSplit/>
        </w:trPr>
        <w:tc>
          <w:tcPr>
            <w:tcW w:type="dxa" w:w="3024"/>
            <w:shd w:fill="1E3A5F" w:val="clear"/>
            <w:vAlign w:val="center"/>
          </w:tcPr>
          <w:p>
            <w:pPr>
              <w:keepNext/>
              <w:spacing w:after="60" w:before="60"/>
              <w:jc w:val="left"/>
            </w:pPr>
            <w:r>
              <w:rPr>
                <w:rFonts w:ascii="Segoe UI Light" w:hAnsi="Segoe UI Light"/>
                <w:b/>
                <w:color w:val="FFFFFF"/>
                <w:sz w:val="18"/>
              </w:rPr>
              <w:t>Area</w:t>
            </w:r>
          </w:p>
        </w:tc>
        <w:tc>
          <w:tcPr>
            <w:tcW w:type="dxa" w:w="3024"/>
            <w:shd w:fill="1E3A5F" w:val="clear"/>
            <w:vAlign w:val="center"/>
          </w:tcPr>
          <w:p>
            <w:pPr>
              <w:keepNext/>
              <w:spacing w:after="60" w:before="60"/>
              <w:jc w:val="left"/>
            </w:pPr>
            <w:r>
              <w:rPr>
                <w:rFonts w:ascii="Segoe UI Light" w:hAnsi="Segoe UI Light"/>
                <w:b/>
                <w:color w:val="FFFFFF"/>
                <w:sz w:val="18"/>
              </w:rPr>
              <w:t>Suggested owner</w:t>
            </w:r>
          </w:p>
        </w:tc>
        <w:tc>
          <w:tcPr>
            <w:tcW w:type="dxa" w:w="3024"/>
            <w:shd w:fill="1E3A5F" w:val="clear"/>
            <w:vAlign w:val="center"/>
          </w:tcPr>
          <w:p>
            <w:pPr>
              <w:keepNext/>
              <w:spacing w:after="60" w:before="60"/>
              <w:jc w:val="left"/>
            </w:pPr>
            <w:r>
              <w:rPr>
                <w:rFonts w:ascii="Segoe UI Light" w:hAnsi="Segoe UI Light"/>
                <w:b/>
                <w:color w:val="FFFFFF"/>
                <w:sz w:val="18"/>
              </w:rPr>
              <w:t>How progress could be checked</w:t>
            </w:r>
          </w:p>
        </w:tc>
      </w:tr>
      <w:tr>
        <w:trPr>
          <w:cantSplit/>
        </w:trPr>
        <w:tc>
          <w:tcPr>
            <w:tcW w:type="dxa" w:w="3024"/>
            <w:vAlign w:val="center"/>
          </w:tcPr>
          <w:p>
            <w:pPr>
              <w:keepNext/>
              <w:spacing w:after="60" w:before="60"/>
            </w:pPr>
            <w:r/>
            <w:r>
              <w:rPr>
                <w:rFonts w:ascii="Segoe UI Light" w:hAnsi="Segoe UI Light"/>
                <w:sz w:val="18"/>
              </w:rPr>
              <w:t>First local assessment</w:t>
            </w:r>
          </w:p>
        </w:tc>
        <w:tc>
          <w:tcPr>
            <w:tcW w:type="dxa" w:w="3024"/>
            <w:vAlign w:val="center"/>
          </w:tcPr>
          <w:p>
            <w:pPr>
              <w:keepNext/>
              <w:spacing w:after="60" w:before="60"/>
            </w:pPr>
            <w:r/>
            <w:r>
              <w:rPr>
                <w:rFonts w:ascii="Segoe UI Light" w:hAnsi="Segoe UI Light"/>
                <w:sz w:val="18"/>
              </w:rPr>
              <w:t>Executive sponsor with people and safety leads</w:t>
            </w:r>
          </w:p>
        </w:tc>
        <w:tc>
          <w:tcPr>
            <w:tcW w:type="dxa" w:w="3024"/>
            <w:vAlign w:val="center"/>
          </w:tcPr>
          <w:p>
            <w:pPr>
              <w:keepNext/>
              <w:spacing w:after="60" w:before="60"/>
            </w:pPr>
            <w:r/>
            <w:r>
              <w:rPr>
                <w:rFonts w:ascii="Segoe UI Light" w:hAnsi="Segoe UI Light"/>
                <w:sz w:val="18"/>
              </w:rPr>
              <w:t>Assessment completed, with results by work area</w:t>
            </w:r>
          </w:p>
        </w:tc>
      </w:tr>
      <w:tr>
        <w:trPr>
          <w:cantSplit/>
        </w:trPr>
        <w:tc>
          <w:tcPr>
            <w:tcW w:type="dxa" w:w="3024"/>
            <w:shd w:fill="F1F5F9" w:val="clear"/>
            <w:vAlign w:val="center"/>
          </w:tcPr>
          <w:p>
            <w:pPr>
              <w:keepNext/>
              <w:spacing w:after="60" w:before="60"/>
            </w:pPr>
            <w:r/>
            <w:r>
              <w:rPr>
                <w:rFonts w:ascii="Segoe UI Light" w:hAnsi="Segoe UI Light"/>
                <w:sz w:val="18"/>
              </w:rPr>
              <w:t>Workload and work-life demands</w:t>
            </w:r>
          </w:p>
        </w:tc>
        <w:tc>
          <w:tcPr>
            <w:tcW w:type="dxa" w:w="3024"/>
            <w:shd w:fill="F1F5F9" w:val="clear"/>
            <w:vAlign w:val="center"/>
          </w:tcPr>
          <w:p>
            <w:pPr>
              <w:keepNext/>
              <w:spacing w:after="60" w:before="60"/>
            </w:pPr>
            <w:r/>
            <w:r>
              <w:rPr>
                <w:rFonts w:ascii="Segoe UI Light" w:hAnsi="Segoe UI Light"/>
                <w:sz w:val="18"/>
              </w:rPr>
              <w:t>Senior leaders and line managers</w:t>
            </w:r>
          </w:p>
        </w:tc>
        <w:tc>
          <w:tcPr>
            <w:tcW w:type="dxa" w:w="3024"/>
            <w:shd w:fill="F1F5F9" w:val="clear"/>
            <w:vAlign w:val="center"/>
          </w:tcPr>
          <w:p>
            <w:pPr>
              <w:keepNext/>
              <w:spacing w:after="60" w:before="60"/>
            </w:pPr>
            <w:r/>
            <w:r>
              <w:rPr>
                <w:rFonts w:ascii="Segoe UI Light" w:hAnsi="Segoe UI Light"/>
                <w:sz w:val="18"/>
              </w:rPr>
              <w:t xml:space="preserve">Pulse follow-up on </w:t>
            </w:r>
            <w:r>
              <w:rPr>
                <w:rFonts w:ascii="Segoe UI Light" w:hAnsi="Segoe UI Light"/>
                <w:b/>
                <w:sz w:val="18"/>
              </w:rPr>
              <w:t>Role Overload</w:t>
            </w:r>
            <w:r>
              <w:rPr>
                <w:rFonts w:ascii="Segoe UI Light" w:hAnsi="Segoe UI Light"/>
                <w:sz w:val="18"/>
              </w:rPr>
              <w:t xml:space="preserve">, </w:t>
            </w:r>
            <w:r>
              <w:rPr>
                <w:rFonts w:ascii="Segoe UI Light" w:hAnsi="Segoe UI Light"/>
                <w:b/>
                <w:sz w:val="18"/>
              </w:rPr>
              <w:t>Work Life Conflict</w:t>
            </w:r>
            <w:r>
              <w:rPr>
                <w:rFonts w:ascii="Segoe UI Light" w:hAnsi="Segoe UI Light"/>
                <w:sz w:val="18"/>
              </w:rPr>
              <w:t xml:space="preserve">, </w:t>
            </w:r>
            <w:r>
              <w:rPr>
                <w:rFonts w:ascii="Segoe UI Light" w:hAnsi="Segoe UI Light"/>
                <w:b/>
                <w:sz w:val="18"/>
              </w:rPr>
              <w:t>Burnout</w:t>
            </w:r>
            <w:r>
              <w:rPr>
                <w:rFonts w:ascii="Segoe UI Light" w:hAnsi="Segoe UI Light"/>
                <w:sz w:val="18"/>
              </w:rPr>
              <w:t xml:space="preserve"> and </w:t>
            </w:r>
            <w:r>
              <w:rPr>
                <w:rFonts w:ascii="Segoe UI Light" w:hAnsi="Segoe UI Light"/>
                <w:b/>
                <w:sz w:val="18"/>
              </w:rPr>
              <w:t>Psych Distress</w:t>
            </w:r>
            <w:r>
              <w:rPr>
                <w:rFonts w:ascii="Segoe UI Light" w:hAnsi="Segoe UI Light"/>
                <w:sz w:val="18"/>
              </w:rPr>
              <w:t xml:space="preserve"> against the first assessment; indicators such as overtime and after-hours contact</w:t>
            </w:r>
          </w:p>
        </w:tc>
      </w:tr>
      <w:tr>
        <w:trPr>
          <w:cantSplit/>
        </w:trPr>
        <w:tc>
          <w:tcPr>
            <w:tcW w:type="dxa" w:w="3024"/>
            <w:vAlign w:val="center"/>
          </w:tcPr>
          <w:p>
            <w:pPr>
              <w:keepNext/>
              <w:spacing w:after="60" w:before="60"/>
            </w:pPr>
            <w:r/>
            <w:r>
              <w:rPr>
                <w:rFonts w:ascii="Segoe UI Light" w:hAnsi="Segoe UI Light"/>
                <w:b/>
                <w:sz w:val="18"/>
              </w:rPr>
              <w:t>Emotional Demand</w:t>
            </w:r>
          </w:p>
        </w:tc>
        <w:tc>
          <w:tcPr>
            <w:tcW w:type="dxa" w:w="3024"/>
            <w:vAlign w:val="center"/>
          </w:tcPr>
          <w:p>
            <w:pPr>
              <w:keepNext/>
              <w:spacing w:after="60" w:before="60"/>
            </w:pPr>
            <w:r/>
            <w:r>
              <w:rPr>
                <w:rFonts w:ascii="Segoe UI Light" w:hAnsi="Segoe UI Light"/>
                <w:sz w:val="18"/>
              </w:rPr>
              <w:t>Managers of affected roles with the safety lead</w:t>
            </w:r>
          </w:p>
        </w:tc>
        <w:tc>
          <w:tcPr>
            <w:tcW w:type="dxa" w:w="3024"/>
            <w:vAlign w:val="center"/>
          </w:tcPr>
          <w:p>
            <w:pPr>
              <w:keepNext/>
              <w:spacing w:after="60" w:before="60"/>
            </w:pPr>
            <w:r/>
            <w:r>
              <w:rPr>
                <w:rFonts w:ascii="Segoe UI Light" w:hAnsi="Segoe UI Light"/>
                <w:sz w:val="18"/>
              </w:rPr>
              <w:t>Supports in place; pulse follow-up in those roles</w:t>
            </w:r>
          </w:p>
        </w:tc>
      </w:tr>
      <w:tr>
        <w:trPr>
          <w:cantSplit/>
        </w:trPr>
        <w:tc>
          <w:tcPr>
            <w:tcW w:type="dxa" w:w="3024"/>
            <w:shd w:fill="F1F5F9" w:val="clear"/>
            <w:vAlign w:val="center"/>
          </w:tcPr>
          <w:p>
            <w:pPr>
              <w:keepNext w:val="0"/>
              <w:spacing w:after="60" w:before="60"/>
            </w:pPr>
            <w:r/>
            <w:r>
              <w:rPr>
                <w:rFonts w:ascii="Segoe UI Light" w:hAnsi="Segoe UI Light"/>
                <w:b/>
                <w:sz w:val="18"/>
              </w:rPr>
              <w:t>Recognition</w:t>
            </w:r>
            <w:r>
              <w:rPr>
                <w:rFonts w:ascii="Segoe UI Light" w:hAnsi="Segoe UI Light"/>
                <w:sz w:val="18"/>
              </w:rPr>
              <w:t xml:space="preserve"> and </w:t>
            </w:r>
            <w:r>
              <w:rPr>
                <w:rFonts w:ascii="Segoe UI Light" w:hAnsi="Segoe UI Light"/>
                <w:b/>
                <w:sz w:val="18"/>
              </w:rPr>
              <w:t>Meaningful Work</w:t>
            </w:r>
          </w:p>
        </w:tc>
        <w:tc>
          <w:tcPr>
            <w:tcW w:type="dxa" w:w="3024"/>
            <w:shd w:fill="F1F5F9" w:val="clear"/>
            <w:vAlign w:val="center"/>
          </w:tcPr>
          <w:p>
            <w:pPr>
              <w:keepNext w:val="0"/>
              <w:spacing w:after="60" w:before="60"/>
            </w:pPr>
            <w:r/>
            <w:r>
              <w:rPr>
                <w:rFonts w:ascii="Segoe UI Light" w:hAnsi="Segoe UI Light"/>
                <w:sz w:val="18"/>
              </w:rPr>
              <w:t>People lead and line managers</w:t>
            </w:r>
          </w:p>
        </w:tc>
        <w:tc>
          <w:tcPr>
            <w:tcW w:type="dxa" w:w="3024"/>
            <w:shd w:fill="F1F5F9" w:val="clear"/>
            <w:vAlign w:val="center"/>
          </w:tcPr>
          <w:p>
            <w:pPr>
              <w:keepNext w:val="0"/>
              <w:spacing w:after="60" w:before="60"/>
            </w:pPr>
            <w:r/>
            <w:r>
              <w:rPr>
                <w:rFonts w:ascii="Segoe UI Light" w:hAnsi="Segoe UI Light"/>
                <w:sz w:val="18"/>
              </w:rPr>
              <w:t xml:space="preserve">Pulse follow-up on these factors and </w:t>
            </w:r>
            <w:r>
              <w:rPr>
                <w:rFonts w:ascii="Segoe UI Light" w:hAnsi="Segoe UI Light"/>
                <w:b/>
                <w:sz w:val="18"/>
              </w:rPr>
              <w:t>Work Engagement</w:t>
            </w:r>
          </w:p>
        </w:tc>
      </w:tr>
    </w:tbl>
    <w:p>
      <w:pPr>
        <w:spacing w:after="0"/>
      </w:pPr>
    </w:p>
    <w:p>
      <w:pPr>
        <w:spacing w:after="120"/>
      </w:pPr>
      <w:r>
        <w:rPr>
          <w:rFonts w:ascii="Segoe UI Light" w:hAnsi="Segoe UI Light"/>
          <w:sz w:val="21"/>
        </w:rPr>
        <w:t>A pulse follow-up about six months after the first assessment, and again at twelve months, would show whether conditions are moving in the intended direction.</w:t>
      </w:r>
    </w:p>
    <w:p>
      <w:pPr>
        <w:sectPr>
          <w:footerReference w:type="default" r:id="rId10"/>
          <w:pgSz w:w="11906" w:h="16838"/>
          <w:pgMar w:top="1417" w:right="1417" w:bottom="1417" w:left="1417" w:header="720" w:footer="720" w:gutter="0"/>
          <w:cols w:space="720"/>
          <w:docGrid w:linePitch="360"/>
        </w:sectPr>
      </w:pPr>
    </w:p>
    <w:p>
      <w:bookmarkStart w:id="20" w:name="_PWToc20"/>
      <w:pPr>
        <w:pStyle w:val="Heading1"/>
      </w:pPr>
      <w:r>
        <w:rPr>
          <w:rFonts w:ascii="Segoe UI Light" w:hAnsi="Segoe UI Light"/>
          <w:b/>
          <w:color w:val="1E3A5F"/>
          <w:sz w:val="28"/>
        </w:rPr>
        <w:t>Appendix – Supporting Material</w:t>
      </w:r>
      <w:bookmarkEnd w:id="20"/>
    </w:p>
    <w:p>
      <w:bookmarkStart w:id="21" w:name="_PWToc21"/>
      <w:pPr>
        <w:pStyle w:val="Heading2"/>
      </w:pPr>
      <w:r>
        <w:rPr>
          <w:rFonts w:ascii="Segoe UI Light" w:hAnsi="Segoe UI Light"/>
          <w:b/>
          <w:color w:val="2D5A8E"/>
          <w:sz w:val="22"/>
        </w:rPr>
        <w:t>A1 – How the Factors Connect</w:t>
      </w:r>
      <w:bookmarkEnd w:id="21"/>
    </w:p>
    <w:p>
      <w:pPr>
        <w:spacing w:after="160"/>
      </w:pPr>
      <w:r>
        <w:rPr>
          <w:rFonts w:ascii="Segoe UI Light" w:hAnsi="Segoe UI Light"/>
          <w:color w:val="64748B"/>
          <w:sz w:val="20"/>
        </w:rPr>
        <w:t>This overview includes every modelled factor and connection. Connections show analytical assumptions, not established causes or relationship strength. Read it alongside the source note below.</w:t>
      </w:r>
    </w:p>
    <w:p>
      <w:pPr>
        <w:keepNext/>
        <w:spacing w:after="80"/>
      </w:pPr>
      <w:r>
        <w:rPr>
          <w:rFonts w:ascii="Segoe UI Light" w:hAnsi="Segoe UI Light"/>
          <w:i/>
          <w:color w:val="334155"/>
          <w:sz w:val="18"/>
        </w:rPr>
        <w:t>Complete model snapshot. Double blue borders identify outcomes; amber borders identify the selected report priorities. All recorded connections are shown. Positions and line widths do not rank importance. Connections show the direction used in the analysis, not proof of causation.</w:t>
      </w:r>
    </w:p>
    <w:p>
      <w:pPr>
        <w:jc w:val="center"/>
      </w:pPr>
      <w:r>
        <w:drawing>
          <wp:inline xmlns:a="http://schemas.openxmlformats.org/drawingml/2006/main" xmlns:pic="http://schemas.openxmlformats.org/drawingml/2006/picture">
            <wp:extent cx="5120000" cy="5760000"/>
            <wp:docPr id="1" name="Picture 1" descr="Role Overload (report priority); Cognitive Demand; Emotional Demand (report priority); Role Ambiguity; Role Conflict; Work Life Conflict (report priority); Job Insecurity; Job Control; Supervisor Support; Coworker Support; Recognition (report priority); Procedural Justice; Change Consultation; Workplace Relationships; Development Growth; Meaningful Work (report priority); Psychological Safety; Work Engagement (outcome); Burnout (outcome); Psych Distress (outcome)"/>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120000" cy="5760000"/>
                    </a:xfrm>
                    <a:prstGeom prst="rect"/>
                  </pic:spPr>
                </pic:pic>
              </a:graphicData>
            </a:graphic>
          </wp:inline>
        </w:drawing>
      </w:r>
    </w:p>
    <w:p>
      <w:bookmarkStart w:id="22" w:name="_PWToc22"/>
      <w:pPr>
        <w:pStyle w:val="Heading2"/>
        <w:pageBreakBefore/>
      </w:pPr>
      <w:r>
        <w:rPr>
          <w:rFonts w:ascii="Segoe UI Light" w:hAnsi="Segoe UI Light"/>
          <w:b/>
          <w:color w:val="2D5A8E"/>
          <w:sz w:val="22"/>
        </w:rPr>
        <w:t>A2 – Starting Model Estimates</w:t>
      </w:r>
      <w:bookmarkEnd w:id="22"/>
    </w:p>
    <w:p>
      <w:pPr>
        <w:spacing w:after="160"/>
      </w:pPr>
      <w:r>
        <w:rPr>
          <w:rFonts w:ascii="Segoe UI Light" w:hAnsi="Segoe UI Light"/>
          <w:color w:val="64748B"/>
          <w:sz w:val="20"/>
        </w:rPr>
        <w:t>Starting probabilities from the report model, before a scenario is applied. These are model estimates, not raw response counts. State labels and any recorded direction are shown for each factor. Not applicable means the factor does not use that state; unavailable means its probability was not supplied.</w:t>
      </w:r>
    </w:p>
    <w:tbl>
      <w:tblPr>
        <w:tblStyle w:val="TableGrid"/>
        <w:tblLayout w:type="fixed"/>
        <w:tblLook w:firstColumn="1" w:firstRow="1" w:lastColumn="0" w:lastRow="0" w:noHBand="0" w:noVBand="1" w:val="04A0"/>
        <w:tblW w:w="5000" w:type="pct"/>
      </w:tblPr>
      <w:tblGrid>
        <w:gridCol w:w="2811"/>
        <w:gridCol w:w="1606"/>
        <w:gridCol w:w="1606"/>
        <w:gridCol w:w="1606"/>
        <w:gridCol w:w="2008"/>
      </w:tblGrid>
      <w:tr>
        <w:trPr>
          <w:tblHeader/>
          <w:cantSplit/>
        </w:trPr>
        <w:tc>
          <w:tcPr>
            <w:tcW w:type="dxa" w:w="2811"/>
            <w:shd w:fill="1E3A5F" w:val="clear"/>
            <w:vAlign w:val="center"/>
          </w:tcPr>
          <w:p>
            <w:pPr>
              <w:keepNext/>
              <w:spacing w:after="60" w:before="60"/>
              <w:jc w:val="left"/>
            </w:pPr>
            <w:r>
              <w:rPr>
                <w:rFonts w:ascii="Segoe UI Light" w:hAnsi="Segoe UI Light"/>
                <w:b/>
                <w:color w:val="FFFFFF"/>
                <w:sz w:val="18"/>
              </w:rPr>
              <w:t>Factor</w:t>
            </w:r>
          </w:p>
        </w:tc>
        <w:tc>
          <w:tcPr>
            <w:tcW w:type="dxa" w:w="1606"/>
            <w:shd w:fill="1E3A5F" w:val="clear"/>
            <w:vAlign w:val="center"/>
          </w:tcPr>
          <w:p>
            <w:pPr>
              <w:keepNext/>
              <w:spacing w:after="60" w:before="60"/>
              <w:jc w:val="left"/>
            </w:pPr>
            <w:r>
              <w:rPr>
                <w:rFonts w:ascii="Segoe UI Light" w:hAnsi="Segoe UI Light"/>
                <w:b/>
                <w:color w:val="FFFFFF"/>
                <w:sz w:val="18"/>
              </w:rPr>
              <w:t>Low (L)</w:t>
            </w:r>
          </w:p>
        </w:tc>
        <w:tc>
          <w:tcPr>
            <w:tcW w:type="dxa" w:w="1606"/>
            <w:shd w:fill="1E3A5F" w:val="clear"/>
            <w:vAlign w:val="center"/>
          </w:tcPr>
          <w:p>
            <w:pPr>
              <w:keepNext/>
              <w:spacing w:after="60" w:before="60"/>
              <w:jc w:val="left"/>
            </w:pPr>
            <w:r>
              <w:rPr>
                <w:rFonts w:ascii="Segoe UI Light" w:hAnsi="Segoe UI Light"/>
                <w:b/>
                <w:color w:val="FFFFFF"/>
                <w:sz w:val="18"/>
              </w:rPr>
              <w:t>Moderate (M)</w:t>
            </w:r>
          </w:p>
        </w:tc>
        <w:tc>
          <w:tcPr>
            <w:tcW w:type="dxa" w:w="1606"/>
            <w:shd w:fill="1E3A5F" w:val="clear"/>
            <w:vAlign w:val="center"/>
          </w:tcPr>
          <w:p>
            <w:pPr>
              <w:keepNext/>
              <w:spacing w:after="60" w:before="60"/>
              <w:jc w:val="left"/>
            </w:pPr>
            <w:r>
              <w:rPr>
                <w:rFonts w:ascii="Segoe UI Light" w:hAnsi="Segoe UI Light"/>
                <w:b/>
                <w:color w:val="FFFFFF"/>
                <w:sz w:val="18"/>
              </w:rPr>
              <w:t>High (H)</w:t>
            </w:r>
          </w:p>
        </w:tc>
        <w:tc>
          <w:tcPr>
            <w:tcW w:type="dxa" w:w="2008"/>
            <w:shd w:fill="1E3A5F" w:val="clear"/>
            <w:vAlign w:val="center"/>
          </w:tcPr>
          <w:p>
            <w:pPr>
              <w:keepNext/>
              <w:spacing w:after="60" w:before="60"/>
              <w:jc w:val="left"/>
            </w:pPr>
            <w:r>
              <w:rPr>
                <w:rFonts w:ascii="Segoe UI Light" w:hAnsi="Segoe UI Light"/>
                <w:b/>
                <w:color w:val="FFFFFF"/>
                <w:sz w:val="18"/>
              </w:rPr>
              <w:t>Recorded direction</w:t>
            </w:r>
          </w:p>
        </w:tc>
      </w:tr>
      <w:tr>
        <w:trPr>
          <w:cantSplit/>
        </w:trPr>
        <w:tc>
          <w:tcPr>
            <w:tcW w:type="dxa" w:w="2811"/>
            <w:vAlign w:val="center"/>
          </w:tcPr>
          <w:p>
            <w:pPr>
              <w:keepNext w:val="0"/>
              <w:spacing w:after="60" w:before="60"/>
              <w:jc w:val="left"/>
            </w:pPr>
            <w:r>
              <w:rPr>
                <w:rFonts w:ascii="Segoe UI Light" w:hAnsi="Segoe UI Light"/>
                <w:b w:val="0"/>
                <w:sz w:val="18"/>
              </w:rPr>
              <w:t>Burnout</w:t>
            </w:r>
          </w:p>
        </w:tc>
        <w:tc>
          <w:tcPr>
            <w:tcW w:type="dxa" w:w="1606"/>
            <w:vAlign w:val="center"/>
          </w:tcPr>
          <w:p>
            <w:pPr>
              <w:keepNext w:val="0"/>
              <w:spacing w:after="60" w:before="60"/>
              <w:jc w:val="center"/>
            </w:pPr>
            <w:r>
              <w:rPr>
                <w:rFonts w:ascii="Segoe UI Light" w:hAnsi="Segoe UI Light"/>
                <w:b w:val="0"/>
                <w:sz w:val="18"/>
              </w:rPr>
              <w:t>33.3%</w:t>
            </w:r>
          </w:p>
        </w:tc>
        <w:tc>
          <w:tcPr>
            <w:tcW w:type="dxa" w:w="1606"/>
            <w:vAlign w:val="center"/>
          </w:tcPr>
          <w:p>
            <w:pPr>
              <w:keepNext w:val="0"/>
              <w:spacing w:after="60" w:before="60"/>
              <w:jc w:val="center"/>
            </w:pPr>
            <w:r>
              <w:rPr>
                <w:rFonts w:ascii="Segoe UI Light" w:hAnsi="Segoe UI Light"/>
                <w:b w:val="0"/>
                <w:sz w:val="18"/>
              </w:rPr>
              <w:t>41.1%</w:t>
            </w:r>
          </w:p>
        </w:tc>
        <w:tc>
          <w:tcPr>
            <w:tcW w:type="dxa" w:w="1606"/>
            <w:vAlign w:val="center"/>
          </w:tcPr>
          <w:p>
            <w:pPr>
              <w:keepNext w:val="0"/>
              <w:spacing w:after="60" w:before="60"/>
              <w:jc w:val="center"/>
            </w:pPr>
            <w:r>
              <w:rPr>
                <w:rFonts w:ascii="Segoe UI Light" w:hAnsi="Segoe UI Light"/>
                <w:b w:val="0"/>
                <w:sz w:val="18"/>
              </w:rPr>
              <w:t>25.5%</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Change Consultation</w:t>
            </w:r>
          </w:p>
        </w:tc>
        <w:tc>
          <w:tcPr>
            <w:tcW w:type="dxa" w:w="1606"/>
            <w:shd w:fill="F1F5F9" w:val="clear"/>
            <w:vAlign w:val="center"/>
          </w:tcPr>
          <w:p>
            <w:pPr>
              <w:keepNext w:val="0"/>
              <w:spacing w:after="60" w:before="60"/>
              <w:jc w:val="center"/>
            </w:pPr>
            <w:r>
              <w:rPr>
                <w:rFonts w:ascii="Segoe UI Light" w:hAnsi="Segoe UI Light"/>
                <w:b w:val="0"/>
                <w:sz w:val="18"/>
              </w:rPr>
              <w:t>28.4%</w:t>
            </w:r>
          </w:p>
        </w:tc>
        <w:tc>
          <w:tcPr>
            <w:tcW w:type="dxa" w:w="1606"/>
            <w:shd w:fill="F1F5F9" w:val="clear"/>
            <w:vAlign w:val="center"/>
          </w:tcPr>
          <w:p>
            <w:pPr>
              <w:keepNext w:val="0"/>
              <w:spacing w:after="60" w:before="60"/>
              <w:jc w:val="center"/>
            </w:pPr>
            <w:r>
              <w:rPr>
                <w:rFonts w:ascii="Segoe UI Light" w:hAnsi="Segoe UI Light"/>
                <w:b w:val="0"/>
                <w:sz w:val="18"/>
              </w:rPr>
              <w:t>43.7%</w:t>
            </w:r>
          </w:p>
        </w:tc>
        <w:tc>
          <w:tcPr>
            <w:tcW w:type="dxa" w:w="1606"/>
            <w:shd w:fill="F1F5F9" w:val="clear"/>
            <w:vAlign w:val="center"/>
          </w:tcPr>
          <w:p>
            <w:pPr>
              <w:keepNext w:val="0"/>
              <w:spacing w:after="60" w:before="60"/>
              <w:jc w:val="center"/>
            </w:pPr>
            <w:r>
              <w:rPr>
                <w:rFonts w:ascii="Segoe UI Light" w:hAnsi="Segoe UI Light"/>
                <w:b w:val="0"/>
                <w:sz w:val="18"/>
              </w:rPr>
              <w:t>27.9%</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Cognitive Demand</w:t>
            </w:r>
          </w:p>
        </w:tc>
        <w:tc>
          <w:tcPr>
            <w:tcW w:type="dxa" w:w="1606"/>
            <w:vAlign w:val="center"/>
          </w:tcPr>
          <w:p>
            <w:pPr>
              <w:keepNext w:val="0"/>
              <w:spacing w:after="60" w:before="60"/>
              <w:jc w:val="center"/>
            </w:pPr>
            <w:r>
              <w:rPr>
                <w:rFonts w:ascii="Segoe UI Light" w:hAnsi="Segoe UI Light"/>
                <w:b w:val="0"/>
                <w:sz w:val="18"/>
              </w:rPr>
              <w:t>12.5%</w:t>
            </w:r>
          </w:p>
        </w:tc>
        <w:tc>
          <w:tcPr>
            <w:tcW w:type="dxa" w:w="1606"/>
            <w:vAlign w:val="center"/>
          </w:tcPr>
          <w:p>
            <w:pPr>
              <w:keepNext w:val="0"/>
              <w:spacing w:after="60" w:before="60"/>
              <w:jc w:val="center"/>
            </w:pPr>
            <w:r>
              <w:rPr>
                <w:rFonts w:ascii="Segoe UI Light" w:hAnsi="Segoe UI Light"/>
                <w:b w:val="0"/>
                <w:sz w:val="18"/>
              </w:rPr>
              <w:t>45.2%</w:t>
            </w:r>
          </w:p>
        </w:tc>
        <w:tc>
          <w:tcPr>
            <w:tcW w:type="dxa" w:w="1606"/>
            <w:vAlign w:val="center"/>
          </w:tcPr>
          <w:p>
            <w:pPr>
              <w:keepNext w:val="0"/>
              <w:spacing w:after="60" w:before="60"/>
              <w:jc w:val="center"/>
            </w:pPr>
            <w:r>
              <w:rPr>
                <w:rFonts w:ascii="Segoe UI Light" w:hAnsi="Segoe UI Light"/>
                <w:b w:val="0"/>
                <w:sz w:val="18"/>
              </w:rPr>
              <w:t>42.3%</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Coworker Support</w:t>
            </w:r>
          </w:p>
        </w:tc>
        <w:tc>
          <w:tcPr>
            <w:tcW w:type="dxa" w:w="1606"/>
            <w:shd w:fill="F1F5F9" w:val="clear"/>
            <w:vAlign w:val="center"/>
          </w:tcPr>
          <w:p>
            <w:pPr>
              <w:keepNext w:val="0"/>
              <w:spacing w:after="60" w:before="60"/>
              <w:jc w:val="center"/>
            </w:pPr>
            <w:r>
              <w:rPr>
                <w:rFonts w:ascii="Segoe UI Light" w:hAnsi="Segoe UI Light"/>
                <w:b w:val="0"/>
                <w:sz w:val="18"/>
              </w:rPr>
              <w:t>15.7%</w:t>
            </w:r>
          </w:p>
        </w:tc>
        <w:tc>
          <w:tcPr>
            <w:tcW w:type="dxa" w:w="1606"/>
            <w:shd w:fill="F1F5F9" w:val="clear"/>
            <w:vAlign w:val="center"/>
          </w:tcPr>
          <w:p>
            <w:pPr>
              <w:keepNext w:val="0"/>
              <w:spacing w:after="60" w:before="60"/>
              <w:jc w:val="center"/>
            </w:pPr>
            <w:r>
              <w:rPr>
                <w:rFonts w:ascii="Segoe UI Light" w:hAnsi="Segoe UI Light"/>
                <w:b w:val="0"/>
                <w:sz w:val="18"/>
              </w:rPr>
              <w:t>42.0%</w:t>
            </w:r>
          </w:p>
        </w:tc>
        <w:tc>
          <w:tcPr>
            <w:tcW w:type="dxa" w:w="1606"/>
            <w:shd w:fill="F1F5F9" w:val="clear"/>
            <w:vAlign w:val="center"/>
          </w:tcPr>
          <w:p>
            <w:pPr>
              <w:keepNext w:val="0"/>
              <w:spacing w:after="60" w:before="60"/>
              <w:jc w:val="center"/>
            </w:pPr>
            <w:r>
              <w:rPr>
                <w:rFonts w:ascii="Segoe UI Light" w:hAnsi="Segoe UI Light"/>
                <w:b w:val="0"/>
                <w:sz w:val="18"/>
              </w:rPr>
              <w:t>42.2%</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Development Growth</w:t>
            </w:r>
          </w:p>
        </w:tc>
        <w:tc>
          <w:tcPr>
            <w:tcW w:type="dxa" w:w="1606"/>
            <w:vAlign w:val="center"/>
          </w:tcPr>
          <w:p>
            <w:pPr>
              <w:keepNext w:val="0"/>
              <w:spacing w:after="60" w:before="60"/>
              <w:jc w:val="center"/>
            </w:pPr>
            <w:r>
              <w:rPr>
                <w:rFonts w:ascii="Segoe UI Light" w:hAnsi="Segoe UI Light"/>
                <w:b w:val="0"/>
                <w:sz w:val="18"/>
              </w:rPr>
              <w:t>14.1%</w:t>
            </w:r>
          </w:p>
        </w:tc>
        <w:tc>
          <w:tcPr>
            <w:tcW w:type="dxa" w:w="1606"/>
            <w:vAlign w:val="center"/>
          </w:tcPr>
          <w:p>
            <w:pPr>
              <w:keepNext w:val="0"/>
              <w:spacing w:after="60" w:before="60"/>
              <w:jc w:val="center"/>
            </w:pPr>
            <w:r>
              <w:rPr>
                <w:rFonts w:ascii="Segoe UI Light" w:hAnsi="Segoe UI Light"/>
                <w:b w:val="0"/>
                <w:sz w:val="18"/>
              </w:rPr>
              <w:t>37.8%</w:t>
            </w:r>
          </w:p>
        </w:tc>
        <w:tc>
          <w:tcPr>
            <w:tcW w:type="dxa" w:w="1606"/>
            <w:vAlign w:val="center"/>
          </w:tcPr>
          <w:p>
            <w:pPr>
              <w:keepNext w:val="0"/>
              <w:spacing w:after="60" w:before="60"/>
              <w:jc w:val="center"/>
            </w:pPr>
            <w:r>
              <w:rPr>
                <w:rFonts w:ascii="Segoe UI Light" w:hAnsi="Segoe UI Light"/>
                <w:b w:val="0"/>
                <w:sz w:val="18"/>
              </w:rPr>
              <w:t>48.1%</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Emotional Demand</w:t>
            </w:r>
          </w:p>
        </w:tc>
        <w:tc>
          <w:tcPr>
            <w:tcW w:type="dxa" w:w="1606"/>
            <w:shd w:fill="F1F5F9" w:val="clear"/>
            <w:vAlign w:val="center"/>
          </w:tcPr>
          <w:p>
            <w:pPr>
              <w:keepNext w:val="0"/>
              <w:spacing w:after="60" w:before="60"/>
              <w:jc w:val="center"/>
            </w:pPr>
            <w:r>
              <w:rPr>
                <w:rFonts w:ascii="Segoe UI Light" w:hAnsi="Segoe UI Light"/>
                <w:b w:val="0"/>
                <w:sz w:val="18"/>
              </w:rPr>
              <w:t>45.3%</w:t>
            </w:r>
          </w:p>
        </w:tc>
        <w:tc>
          <w:tcPr>
            <w:tcW w:type="dxa" w:w="1606"/>
            <w:shd w:fill="F1F5F9" w:val="clear"/>
            <w:vAlign w:val="center"/>
          </w:tcPr>
          <w:p>
            <w:pPr>
              <w:keepNext w:val="0"/>
              <w:spacing w:after="60" w:before="60"/>
              <w:jc w:val="center"/>
            </w:pPr>
            <w:r>
              <w:rPr>
                <w:rFonts w:ascii="Segoe UI Light" w:hAnsi="Segoe UI Light"/>
                <w:b w:val="0"/>
                <w:sz w:val="18"/>
              </w:rPr>
              <w:t>33.1%</w:t>
            </w:r>
          </w:p>
        </w:tc>
        <w:tc>
          <w:tcPr>
            <w:tcW w:type="dxa" w:w="1606"/>
            <w:shd w:fill="F1F5F9" w:val="clear"/>
            <w:vAlign w:val="center"/>
          </w:tcPr>
          <w:p>
            <w:pPr>
              <w:keepNext w:val="0"/>
              <w:spacing w:after="60" w:before="60"/>
              <w:jc w:val="center"/>
            </w:pPr>
            <w:r>
              <w:rPr>
                <w:rFonts w:ascii="Segoe UI Light" w:hAnsi="Segoe UI Light"/>
                <w:b w:val="0"/>
                <w:sz w:val="18"/>
              </w:rPr>
              <w:t>21.6%</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Job Control</w:t>
            </w:r>
          </w:p>
        </w:tc>
        <w:tc>
          <w:tcPr>
            <w:tcW w:type="dxa" w:w="1606"/>
            <w:vAlign w:val="center"/>
          </w:tcPr>
          <w:p>
            <w:pPr>
              <w:keepNext w:val="0"/>
              <w:spacing w:after="60" w:before="60"/>
              <w:jc w:val="center"/>
            </w:pPr>
            <w:r>
              <w:rPr>
                <w:rFonts w:ascii="Segoe UI Light" w:hAnsi="Segoe UI Light"/>
                <w:b w:val="0"/>
                <w:sz w:val="18"/>
              </w:rPr>
              <w:t>24.3%</w:t>
            </w:r>
          </w:p>
        </w:tc>
        <w:tc>
          <w:tcPr>
            <w:tcW w:type="dxa" w:w="1606"/>
            <w:vAlign w:val="center"/>
          </w:tcPr>
          <w:p>
            <w:pPr>
              <w:keepNext w:val="0"/>
              <w:spacing w:after="60" w:before="60"/>
              <w:jc w:val="center"/>
            </w:pPr>
            <w:r>
              <w:rPr>
                <w:rFonts w:ascii="Segoe UI Light" w:hAnsi="Segoe UI Light"/>
                <w:b w:val="0"/>
                <w:sz w:val="18"/>
              </w:rPr>
              <w:t>48.0%</w:t>
            </w:r>
          </w:p>
        </w:tc>
        <w:tc>
          <w:tcPr>
            <w:tcW w:type="dxa" w:w="1606"/>
            <w:vAlign w:val="center"/>
          </w:tcPr>
          <w:p>
            <w:pPr>
              <w:keepNext w:val="0"/>
              <w:spacing w:after="60" w:before="60"/>
              <w:jc w:val="center"/>
            </w:pPr>
            <w:r>
              <w:rPr>
                <w:rFonts w:ascii="Segoe UI Light" w:hAnsi="Segoe UI Light"/>
                <w:b w:val="0"/>
                <w:sz w:val="18"/>
              </w:rPr>
              <w:t>27.7%</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Job Insecurity</w:t>
            </w:r>
          </w:p>
        </w:tc>
        <w:tc>
          <w:tcPr>
            <w:tcW w:type="dxa" w:w="1606"/>
            <w:shd w:fill="F1F5F9" w:val="clear"/>
            <w:vAlign w:val="center"/>
          </w:tcPr>
          <w:p>
            <w:pPr>
              <w:keepNext w:val="0"/>
              <w:spacing w:after="60" w:before="60"/>
              <w:jc w:val="center"/>
            </w:pPr>
            <w:r>
              <w:rPr>
                <w:rFonts w:ascii="Segoe UI Light" w:hAnsi="Segoe UI Light"/>
                <w:b w:val="0"/>
                <w:sz w:val="18"/>
              </w:rPr>
              <w:t>55.8%</w:t>
            </w:r>
          </w:p>
        </w:tc>
        <w:tc>
          <w:tcPr>
            <w:tcW w:type="dxa" w:w="1606"/>
            <w:shd w:fill="F1F5F9" w:val="clear"/>
            <w:vAlign w:val="center"/>
          </w:tcPr>
          <w:p>
            <w:pPr>
              <w:keepNext w:val="0"/>
              <w:spacing w:after="60" w:before="60"/>
              <w:jc w:val="center"/>
            </w:pPr>
            <w:r>
              <w:rPr>
                <w:rFonts w:ascii="Segoe UI Light" w:hAnsi="Segoe UI Light"/>
                <w:b w:val="0"/>
                <w:sz w:val="18"/>
              </w:rPr>
              <w:t>28.9%</w:t>
            </w:r>
          </w:p>
        </w:tc>
        <w:tc>
          <w:tcPr>
            <w:tcW w:type="dxa" w:w="1606"/>
            <w:shd w:fill="F1F5F9" w:val="clear"/>
            <w:vAlign w:val="center"/>
          </w:tcPr>
          <w:p>
            <w:pPr>
              <w:keepNext w:val="0"/>
              <w:spacing w:after="60" w:before="60"/>
              <w:jc w:val="center"/>
            </w:pPr>
            <w:r>
              <w:rPr>
                <w:rFonts w:ascii="Segoe UI Light" w:hAnsi="Segoe UI Light"/>
                <w:b w:val="0"/>
                <w:sz w:val="18"/>
              </w:rPr>
              <w:t>15.4%</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Meaningful Work</w:t>
            </w:r>
          </w:p>
        </w:tc>
        <w:tc>
          <w:tcPr>
            <w:tcW w:type="dxa" w:w="1606"/>
            <w:vAlign w:val="center"/>
          </w:tcPr>
          <w:p>
            <w:pPr>
              <w:keepNext w:val="0"/>
              <w:spacing w:after="60" w:before="60"/>
              <w:jc w:val="center"/>
            </w:pPr>
            <w:r>
              <w:rPr>
                <w:rFonts w:ascii="Segoe UI Light" w:hAnsi="Segoe UI Light"/>
                <w:b w:val="0"/>
                <w:sz w:val="18"/>
              </w:rPr>
              <w:t>14.5%</w:t>
            </w:r>
          </w:p>
        </w:tc>
        <w:tc>
          <w:tcPr>
            <w:tcW w:type="dxa" w:w="1606"/>
            <w:vAlign w:val="center"/>
          </w:tcPr>
          <w:p>
            <w:pPr>
              <w:keepNext w:val="0"/>
              <w:spacing w:after="60" w:before="60"/>
              <w:jc w:val="center"/>
            </w:pPr>
            <w:r>
              <w:rPr>
                <w:rFonts w:ascii="Segoe UI Light" w:hAnsi="Segoe UI Light"/>
                <w:b w:val="0"/>
                <w:sz w:val="18"/>
              </w:rPr>
              <w:t>30.6%</w:t>
            </w:r>
          </w:p>
        </w:tc>
        <w:tc>
          <w:tcPr>
            <w:tcW w:type="dxa" w:w="1606"/>
            <w:vAlign w:val="center"/>
          </w:tcPr>
          <w:p>
            <w:pPr>
              <w:keepNext w:val="0"/>
              <w:spacing w:after="60" w:before="60"/>
              <w:jc w:val="center"/>
            </w:pPr>
            <w:r>
              <w:rPr>
                <w:rFonts w:ascii="Segoe UI Light" w:hAnsi="Segoe UI Light"/>
                <w:b w:val="0"/>
                <w:sz w:val="18"/>
              </w:rPr>
              <w:t>54.9%</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Procedural Justice</w:t>
            </w:r>
          </w:p>
        </w:tc>
        <w:tc>
          <w:tcPr>
            <w:tcW w:type="dxa" w:w="1606"/>
            <w:shd w:fill="F1F5F9" w:val="clear"/>
            <w:vAlign w:val="center"/>
          </w:tcPr>
          <w:p>
            <w:pPr>
              <w:keepNext w:val="0"/>
              <w:spacing w:after="60" w:before="60"/>
              <w:jc w:val="center"/>
            </w:pPr>
            <w:r>
              <w:rPr>
                <w:rFonts w:ascii="Segoe UI Light" w:hAnsi="Segoe UI Light"/>
                <w:b w:val="0"/>
                <w:sz w:val="18"/>
              </w:rPr>
              <w:t>17.0%</w:t>
            </w:r>
          </w:p>
        </w:tc>
        <w:tc>
          <w:tcPr>
            <w:tcW w:type="dxa" w:w="1606"/>
            <w:shd w:fill="F1F5F9" w:val="clear"/>
            <w:vAlign w:val="center"/>
          </w:tcPr>
          <w:p>
            <w:pPr>
              <w:keepNext w:val="0"/>
              <w:spacing w:after="60" w:before="60"/>
              <w:jc w:val="center"/>
            </w:pPr>
            <w:r>
              <w:rPr>
                <w:rFonts w:ascii="Segoe UI Light" w:hAnsi="Segoe UI Light"/>
                <w:b w:val="0"/>
                <w:sz w:val="18"/>
              </w:rPr>
              <w:t>39.5%</w:t>
            </w:r>
          </w:p>
        </w:tc>
        <w:tc>
          <w:tcPr>
            <w:tcW w:type="dxa" w:w="1606"/>
            <w:shd w:fill="F1F5F9" w:val="clear"/>
            <w:vAlign w:val="center"/>
          </w:tcPr>
          <w:p>
            <w:pPr>
              <w:keepNext w:val="0"/>
              <w:spacing w:after="60" w:before="60"/>
              <w:jc w:val="center"/>
            </w:pPr>
            <w:r>
              <w:rPr>
                <w:rFonts w:ascii="Segoe UI Light" w:hAnsi="Segoe UI Light"/>
                <w:b w:val="0"/>
                <w:sz w:val="18"/>
              </w:rPr>
              <w:t>43.5%</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Psych Distress</w:t>
            </w:r>
          </w:p>
        </w:tc>
        <w:tc>
          <w:tcPr>
            <w:tcW w:type="dxa" w:w="1606"/>
            <w:vAlign w:val="center"/>
          </w:tcPr>
          <w:p>
            <w:pPr>
              <w:keepNext w:val="0"/>
              <w:spacing w:after="60" w:before="60"/>
              <w:jc w:val="center"/>
            </w:pPr>
            <w:r>
              <w:rPr>
                <w:rFonts w:ascii="Segoe UI Light" w:hAnsi="Segoe UI Light"/>
                <w:b w:val="0"/>
                <w:sz w:val="18"/>
              </w:rPr>
              <w:t>45.4%</w:t>
            </w:r>
          </w:p>
        </w:tc>
        <w:tc>
          <w:tcPr>
            <w:tcW w:type="dxa" w:w="1606"/>
            <w:vAlign w:val="center"/>
          </w:tcPr>
          <w:p>
            <w:pPr>
              <w:keepNext w:val="0"/>
              <w:spacing w:after="60" w:before="60"/>
              <w:jc w:val="center"/>
            </w:pPr>
            <w:r>
              <w:rPr>
                <w:rFonts w:ascii="Segoe UI Light" w:hAnsi="Segoe UI Light"/>
                <w:b w:val="0"/>
                <w:sz w:val="18"/>
              </w:rPr>
              <w:t>36.2%</w:t>
            </w:r>
          </w:p>
        </w:tc>
        <w:tc>
          <w:tcPr>
            <w:tcW w:type="dxa" w:w="1606"/>
            <w:vAlign w:val="center"/>
          </w:tcPr>
          <w:p>
            <w:pPr>
              <w:keepNext w:val="0"/>
              <w:spacing w:after="60" w:before="60"/>
              <w:jc w:val="center"/>
            </w:pPr>
            <w:r>
              <w:rPr>
                <w:rFonts w:ascii="Segoe UI Light" w:hAnsi="Segoe UI Light"/>
                <w:b w:val="0"/>
                <w:sz w:val="18"/>
              </w:rPr>
              <w:t>18.4%</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Psychological Safety</w:t>
            </w:r>
          </w:p>
        </w:tc>
        <w:tc>
          <w:tcPr>
            <w:tcW w:type="dxa" w:w="1606"/>
            <w:shd w:fill="F1F5F9" w:val="clear"/>
            <w:vAlign w:val="center"/>
          </w:tcPr>
          <w:p>
            <w:pPr>
              <w:keepNext w:val="0"/>
              <w:spacing w:after="60" w:before="60"/>
              <w:jc w:val="center"/>
            </w:pPr>
            <w:r>
              <w:rPr>
                <w:rFonts w:ascii="Segoe UI Light" w:hAnsi="Segoe UI Light"/>
                <w:b w:val="0"/>
                <w:sz w:val="18"/>
              </w:rPr>
              <w:t>11.5%</w:t>
            </w:r>
          </w:p>
        </w:tc>
        <w:tc>
          <w:tcPr>
            <w:tcW w:type="dxa" w:w="1606"/>
            <w:shd w:fill="F1F5F9" w:val="clear"/>
            <w:vAlign w:val="center"/>
          </w:tcPr>
          <w:p>
            <w:pPr>
              <w:keepNext w:val="0"/>
              <w:spacing w:after="60" w:before="60"/>
              <w:jc w:val="center"/>
            </w:pPr>
            <w:r>
              <w:rPr>
                <w:rFonts w:ascii="Segoe UI Light" w:hAnsi="Segoe UI Light"/>
                <w:b w:val="0"/>
                <w:sz w:val="18"/>
              </w:rPr>
              <w:t>38.6%</w:t>
            </w:r>
          </w:p>
        </w:tc>
        <w:tc>
          <w:tcPr>
            <w:tcW w:type="dxa" w:w="1606"/>
            <w:shd w:fill="F1F5F9" w:val="clear"/>
            <w:vAlign w:val="center"/>
          </w:tcPr>
          <w:p>
            <w:pPr>
              <w:keepNext w:val="0"/>
              <w:spacing w:after="60" w:before="60"/>
              <w:jc w:val="center"/>
            </w:pPr>
            <w:r>
              <w:rPr>
                <w:rFonts w:ascii="Segoe UI Light" w:hAnsi="Segoe UI Light"/>
                <w:b w:val="0"/>
                <w:sz w:val="18"/>
              </w:rPr>
              <w:t>49.9%</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Recognition</w:t>
            </w:r>
          </w:p>
        </w:tc>
        <w:tc>
          <w:tcPr>
            <w:tcW w:type="dxa" w:w="1606"/>
            <w:vAlign w:val="center"/>
          </w:tcPr>
          <w:p>
            <w:pPr>
              <w:keepNext w:val="0"/>
              <w:spacing w:after="60" w:before="60"/>
              <w:jc w:val="center"/>
            </w:pPr>
            <w:r>
              <w:rPr>
                <w:rFonts w:ascii="Segoe UI Light" w:hAnsi="Segoe UI Light"/>
                <w:b w:val="0"/>
                <w:sz w:val="18"/>
              </w:rPr>
              <w:t>16.8%</w:t>
            </w:r>
          </w:p>
        </w:tc>
        <w:tc>
          <w:tcPr>
            <w:tcW w:type="dxa" w:w="1606"/>
            <w:vAlign w:val="center"/>
          </w:tcPr>
          <w:p>
            <w:pPr>
              <w:keepNext w:val="0"/>
              <w:spacing w:after="60" w:before="60"/>
              <w:jc w:val="center"/>
            </w:pPr>
            <w:r>
              <w:rPr>
                <w:rFonts w:ascii="Segoe UI Light" w:hAnsi="Segoe UI Light"/>
                <w:b w:val="0"/>
                <w:sz w:val="18"/>
              </w:rPr>
              <w:t>33.3%</w:t>
            </w:r>
          </w:p>
        </w:tc>
        <w:tc>
          <w:tcPr>
            <w:tcW w:type="dxa" w:w="1606"/>
            <w:vAlign w:val="center"/>
          </w:tcPr>
          <w:p>
            <w:pPr>
              <w:keepNext w:val="0"/>
              <w:spacing w:after="60" w:before="60"/>
              <w:jc w:val="center"/>
            </w:pPr>
            <w:r>
              <w:rPr>
                <w:rFonts w:ascii="Segoe UI Light" w:hAnsi="Segoe UI Light"/>
                <w:b w:val="0"/>
                <w:sz w:val="18"/>
              </w:rPr>
              <w:t>49.9%</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Role Ambiguity</w:t>
            </w:r>
          </w:p>
        </w:tc>
        <w:tc>
          <w:tcPr>
            <w:tcW w:type="dxa" w:w="1606"/>
            <w:shd w:fill="F1F5F9" w:val="clear"/>
            <w:vAlign w:val="center"/>
          </w:tcPr>
          <w:p>
            <w:pPr>
              <w:keepNext w:val="0"/>
              <w:spacing w:after="60" w:before="60"/>
              <w:jc w:val="center"/>
            </w:pPr>
            <w:r>
              <w:rPr>
                <w:rFonts w:ascii="Segoe UI Light" w:hAnsi="Segoe UI Light"/>
                <w:b w:val="0"/>
                <w:sz w:val="18"/>
              </w:rPr>
              <w:t>66.0%</w:t>
            </w:r>
          </w:p>
        </w:tc>
        <w:tc>
          <w:tcPr>
            <w:tcW w:type="dxa" w:w="1606"/>
            <w:shd w:fill="F1F5F9" w:val="clear"/>
            <w:vAlign w:val="center"/>
          </w:tcPr>
          <w:p>
            <w:pPr>
              <w:keepNext w:val="0"/>
              <w:spacing w:after="60" w:before="60"/>
              <w:jc w:val="center"/>
            </w:pPr>
            <w:r>
              <w:rPr>
                <w:rFonts w:ascii="Segoe UI Light" w:hAnsi="Segoe UI Light"/>
                <w:b w:val="0"/>
                <w:sz w:val="18"/>
              </w:rPr>
              <w:t>28.7%</w:t>
            </w:r>
          </w:p>
        </w:tc>
        <w:tc>
          <w:tcPr>
            <w:tcW w:type="dxa" w:w="1606"/>
            <w:shd w:fill="F1F5F9" w:val="clear"/>
            <w:vAlign w:val="center"/>
          </w:tcPr>
          <w:p>
            <w:pPr>
              <w:keepNext w:val="0"/>
              <w:spacing w:after="60" w:before="60"/>
              <w:jc w:val="center"/>
            </w:pPr>
            <w:r>
              <w:rPr>
                <w:rFonts w:ascii="Segoe UI Light" w:hAnsi="Segoe UI Light"/>
                <w:b w:val="0"/>
                <w:sz w:val="18"/>
              </w:rPr>
              <w:t>5.3%</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Role Conflict</w:t>
            </w:r>
          </w:p>
        </w:tc>
        <w:tc>
          <w:tcPr>
            <w:tcW w:type="dxa" w:w="1606"/>
            <w:vAlign w:val="center"/>
          </w:tcPr>
          <w:p>
            <w:pPr>
              <w:keepNext w:val="0"/>
              <w:spacing w:after="60" w:before="60"/>
              <w:jc w:val="center"/>
            </w:pPr>
            <w:r>
              <w:rPr>
                <w:rFonts w:ascii="Segoe UI Light" w:hAnsi="Segoe UI Light"/>
                <w:b w:val="0"/>
                <w:sz w:val="18"/>
              </w:rPr>
              <w:t>41.1%</w:t>
            </w:r>
          </w:p>
        </w:tc>
        <w:tc>
          <w:tcPr>
            <w:tcW w:type="dxa" w:w="1606"/>
            <w:vAlign w:val="center"/>
          </w:tcPr>
          <w:p>
            <w:pPr>
              <w:keepNext w:val="0"/>
              <w:spacing w:after="60" w:before="60"/>
              <w:jc w:val="center"/>
            </w:pPr>
            <w:r>
              <w:rPr>
                <w:rFonts w:ascii="Segoe UI Light" w:hAnsi="Segoe UI Light"/>
                <w:b w:val="0"/>
                <w:sz w:val="18"/>
              </w:rPr>
              <w:t>36.8%</w:t>
            </w:r>
          </w:p>
        </w:tc>
        <w:tc>
          <w:tcPr>
            <w:tcW w:type="dxa" w:w="1606"/>
            <w:vAlign w:val="center"/>
          </w:tcPr>
          <w:p>
            <w:pPr>
              <w:keepNext w:val="0"/>
              <w:spacing w:after="60" w:before="60"/>
              <w:jc w:val="center"/>
            </w:pPr>
            <w:r>
              <w:rPr>
                <w:rFonts w:ascii="Segoe UI Light" w:hAnsi="Segoe UI Light"/>
                <w:b w:val="0"/>
                <w:sz w:val="18"/>
              </w:rPr>
              <w:t>22.1%</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Role Overload</w:t>
            </w:r>
          </w:p>
        </w:tc>
        <w:tc>
          <w:tcPr>
            <w:tcW w:type="dxa" w:w="1606"/>
            <w:shd w:fill="F1F5F9" w:val="clear"/>
            <w:vAlign w:val="center"/>
          </w:tcPr>
          <w:p>
            <w:pPr>
              <w:keepNext w:val="0"/>
              <w:spacing w:after="60" w:before="60"/>
              <w:jc w:val="center"/>
            </w:pPr>
            <w:r>
              <w:rPr>
                <w:rFonts w:ascii="Segoe UI Light" w:hAnsi="Segoe UI Light"/>
                <w:b w:val="0"/>
                <w:sz w:val="18"/>
              </w:rPr>
              <w:t>27.9%</w:t>
            </w:r>
          </w:p>
        </w:tc>
        <w:tc>
          <w:tcPr>
            <w:tcW w:type="dxa" w:w="1606"/>
            <w:shd w:fill="F1F5F9" w:val="clear"/>
            <w:vAlign w:val="center"/>
          </w:tcPr>
          <w:p>
            <w:pPr>
              <w:keepNext w:val="0"/>
              <w:spacing w:after="60" w:before="60"/>
              <w:jc w:val="center"/>
            </w:pPr>
            <w:r>
              <w:rPr>
                <w:rFonts w:ascii="Segoe UI Light" w:hAnsi="Segoe UI Light"/>
                <w:b w:val="0"/>
                <w:sz w:val="18"/>
              </w:rPr>
              <w:t>46.9%</w:t>
            </w:r>
          </w:p>
        </w:tc>
        <w:tc>
          <w:tcPr>
            <w:tcW w:type="dxa" w:w="1606"/>
            <w:shd w:fill="F1F5F9" w:val="clear"/>
            <w:vAlign w:val="center"/>
          </w:tcPr>
          <w:p>
            <w:pPr>
              <w:keepNext w:val="0"/>
              <w:spacing w:after="60" w:before="60"/>
              <w:jc w:val="center"/>
            </w:pPr>
            <w:r>
              <w:rPr>
                <w:rFonts w:ascii="Segoe UI Light" w:hAnsi="Segoe UI Light"/>
                <w:b w:val="0"/>
                <w:sz w:val="18"/>
              </w:rPr>
              <w:t>25.2%</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Supervisor Support</w:t>
            </w:r>
          </w:p>
        </w:tc>
        <w:tc>
          <w:tcPr>
            <w:tcW w:type="dxa" w:w="1606"/>
            <w:vAlign w:val="center"/>
          </w:tcPr>
          <w:p>
            <w:pPr>
              <w:keepNext w:val="0"/>
              <w:spacing w:after="60" w:before="60"/>
              <w:jc w:val="center"/>
            </w:pPr>
            <w:r>
              <w:rPr>
                <w:rFonts w:ascii="Segoe UI Light" w:hAnsi="Segoe UI Light"/>
                <w:b w:val="0"/>
                <w:sz w:val="18"/>
              </w:rPr>
              <w:t>20.8%</w:t>
            </w:r>
          </w:p>
        </w:tc>
        <w:tc>
          <w:tcPr>
            <w:tcW w:type="dxa" w:w="1606"/>
            <w:vAlign w:val="center"/>
          </w:tcPr>
          <w:p>
            <w:pPr>
              <w:keepNext w:val="0"/>
              <w:spacing w:after="60" w:before="60"/>
              <w:jc w:val="center"/>
            </w:pPr>
            <w:r>
              <w:rPr>
                <w:rFonts w:ascii="Segoe UI Light" w:hAnsi="Segoe UI Light"/>
                <w:b w:val="0"/>
                <w:sz w:val="18"/>
              </w:rPr>
              <w:t>36.9%</w:t>
            </w:r>
          </w:p>
        </w:tc>
        <w:tc>
          <w:tcPr>
            <w:tcW w:type="dxa" w:w="1606"/>
            <w:vAlign w:val="center"/>
          </w:tcPr>
          <w:p>
            <w:pPr>
              <w:keepNext w:val="0"/>
              <w:spacing w:after="60" w:before="60"/>
              <w:jc w:val="center"/>
            </w:pPr>
            <w:r>
              <w:rPr>
                <w:rFonts w:ascii="Segoe UI Light" w:hAnsi="Segoe UI Light"/>
                <w:b w:val="0"/>
                <w:sz w:val="18"/>
              </w:rPr>
              <w:t>42.4%</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Work Engagement</w:t>
            </w:r>
          </w:p>
        </w:tc>
        <w:tc>
          <w:tcPr>
            <w:tcW w:type="dxa" w:w="1606"/>
            <w:shd w:fill="F1F5F9" w:val="clear"/>
            <w:vAlign w:val="center"/>
          </w:tcPr>
          <w:p>
            <w:pPr>
              <w:keepNext w:val="0"/>
              <w:spacing w:after="60" w:before="60"/>
              <w:jc w:val="center"/>
            </w:pPr>
            <w:r>
              <w:rPr>
                <w:rFonts w:ascii="Segoe UI Light" w:hAnsi="Segoe UI Light"/>
                <w:b w:val="0"/>
                <w:sz w:val="18"/>
              </w:rPr>
              <w:t>18.5%</w:t>
            </w:r>
          </w:p>
        </w:tc>
        <w:tc>
          <w:tcPr>
            <w:tcW w:type="dxa" w:w="1606"/>
            <w:shd w:fill="F1F5F9" w:val="clear"/>
            <w:vAlign w:val="center"/>
          </w:tcPr>
          <w:p>
            <w:pPr>
              <w:keepNext w:val="0"/>
              <w:spacing w:after="60" w:before="60"/>
              <w:jc w:val="center"/>
            </w:pPr>
            <w:r>
              <w:rPr>
                <w:rFonts w:ascii="Segoe UI Light" w:hAnsi="Segoe UI Light"/>
                <w:b w:val="0"/>
                <w:sz w:val="18"/>
              </w:rPr>
              <w:t>47.4%</w:t>
            </w:r>
          </w:p>
        </w:tc>
        <w:tc>
          <w:tcPr>
            <w:tcW w:type="dxa" w:w="1606"/>
            <w:shd w:fill="F1F5F9" w:val="clear"/>
            <w:vAlign w:val="center"/>
          </w:tcPr>
          <w:p>
            <w:pPr>
              <w:keepNext w:val="0"/>
              <w:spacing w:after="60" w:before="60"/>
              <w:jc w:val="center"/>
            </w:pPr>
            <w:r>
              <w:rPr>
                <w:rFonts w:ascii="Segoe UI Light" w:hAnsi="Segoe UI Light"/>
                <w:b w:val="0"/>
                <w:sz w:val="18"/>
              </w:rPr>
              <w:t>34.1%</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Work Life Conflict</w:t>
            </w:r>
          </w:p>
        </w:tc>
        <w:tc>
          <w:tcPr>
            <w:tcW w:type="dxa" w:w="1606"/>
            <w:vAlign w:val="center"/>
          </w:tcPr>
          <w:p>
            <w:pPr>
              <w:keepNext w:val="0"/>
              <w:spacing w:after="60" w:before="60"/>
              <w:jc w:val="center"/>
            </w:pPr>
            <w:r>
              <w:rPr>
                <w:rFonts w:ascii="Segoe UI Light" w:hAnsi="Segoe UI Light"/>
                <w:b w:val="0"/>
                <w:sz w:val="18"/>
              </w:rPr>
              <w:t>45.5%</w:t>
            </w:r>
          </w:p>
        </w:tc>
        <w:tc>
          <w:tcPr>
            <w:tcW w:type="dxa" w:w="1606"/>
            <w:vAlign w:val="center"/>
          </w:tcPr>
          <w:p>
            <w:pPr>
              <w:keepNext w:val="0"/>
              <w:spacing w:after="60" w:before="60"/>
              <w:jc w:val="center"/>
            </w:pPr>
            <w:r>
              <w:rPr>
                <w:rFonts w:ascii="Segoe UI Light" w:hAnsi="Segoe UI Light"/>
                <w:b w:val="0"/>
                <w:sz w:val="18"/>
              </w:rPr>
              <w:t>34.3%</w:t>
            </w:r>
          </w:p>
        </w:tc>
        <w:tc>
          <w:tcPr>
            <w:tcW w:type="dxa" w:w="1606"/>
            <w:vAlign w:val="center"/>
          </w:tcPr>
          <w:p>
            <w:pPr>
              <w:keepNext w:val="0"/>
              <w:spacing w:after="60" w:before="60"/>
              <w:jc w:val="center"/>
            </w:pPr>
            <w:r>
              <w:rPr>
                <w:rFonts w:ascii="Segoe UI Light" w:hAnsi="Segoe UI Light"/>
                <w:b w:val="0"/>
                <w:sz w:val="18"/>
              </w:rPr>
              <w:t>20.2%</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Workplace Relationships</w:t>
            </w:r>
          </w:p>
        </w:tc>
        <w:tc>
          <w:tcPr>
            <w:tcW w:type="dxa" w:w="1606"/>
            <w:shd w:fill="F1F5F9" w:val="clear"/>
            <w:vAlign w:val="center"/>
          </w:tcPr>
          <w:p>
            <w:pPr>
              <w:keepNext w:val="0"/>
              <w:spacing w:after="60" w:before="60"/>
              <w:jc w:val="center"/>
            </w:pPr>
            <w:r>
              <w:rPr>
                <w:rFonts w:ascii="Segoe UI Light" w:hAnsi="Segoe UI Light"/>
                <w:b w:val="0"/>
                <w:sz w:val="18"/>
              </w:rPr>
              <w:t>11.1%</w:t>
            </w:r>
          </w:p>
        </w:tc>
        <w:tc>
          <w:tcPr>
            <w:tcW w:type="dxa" w:w="1606"/>
            <w:shd w:fill="F1F5F9" w:val="clear"/>
            <w:vAlign w:val="center"/>
          </w:tcPr>
          <w:p>
            <w:pPr>
              <w:keepNext w:val="0"/>
              <w:spacing w:after="60" w:before="60"/>
              <w:jc w:val="center"/>
            </w:pPr>
            <w:r>
              <w:rPr>
                <w:rFonts w:ascii="Segoe UI Light" w:hAnsi="Segoe UI Light"/>
                <w:b w:val="0"/>
                <w:sz w:val="18"/>
              </w:rPr>
              <w:t>32.1%</w:t>
            </w:r>
          </w:p>
        </w:tc>
        <w:tc>
          <w:tcPr>
            <w:tcW w:type="dxa" w:w="1606"/>
            <w:shd w:fill="F1F5F9" w:val="clear"/>
            <w:vAlign w:val="center"/>
          </w:tcPr>
          <w:p>
            <w:pPr>
              <w:keepNext w:val="0"/>
              <w:spacing w:after="60" w:before="60"/>
              <w:jc w:val="center"/>
            </w:pPr>
            <w:r>
              <w:rPr>
                <w:rFonts w:ascii="Segoe UI Light" w:hAnsi="Segoe UI Light"/>
                <w:b w:val="0"/>
                <w:sz w:val="18"/>
              </w:rPr>
              <w:t>56.8%</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bl>
    <w:p>
      <w:bookmarkStart w:id="23" w:name="_PWToc23"/>
      <w:pPr>
        <w:pStyle w:val="Heading2"/>
        <w:pageBreakBefore/>
      </w:pPr>
      <w:r>
        <w:rPr>
          <w:rFonts w:ascii="Segoe UI Light" w:hAnsi="Segoe UI Light"/>
          <w:b/>
          <w:color w:val="2D5A8E"/>
          <w:sz w:val="22"/>
        </w:rPr>
        <w:t>A3 – Simple Scenarios: One Factor at a Time</w:t>
      </w:r>
      <w:bookmarkEnd w:id="23"/>
    </w:p>
    <w:p>
      <w:pPr>
        <w:spacing w:after="160"/>
      </w:pPr>
      <w:r>
        <w:rPr>
          <w:rFonts w:ascii="Segoe UI Light" w:hAnsi="Segoe UI Light"/>
          <w:color w:val="64748B"/>
          <w:sz w:val="20"/>
        </w:rPr>
        <w:t>Each row compares a hypothetical change in one workplace factor with the starting model. Related conditions can change in the calculation; they are not all held fixed. The exact comparison state is shown where recorded. Positive values increase the named outcome state, which is favourable only where stated. The summed score adds changes across outcomes and is not a share of workers. Do not add separate rows to predict a joint effect.</w:t>
      </w:r>
    </w:p>
    <w:tbl>
      <w:tblPr>
        <w:tblStyle w:val="TableGrid"/>
        <w:tblLayout w:type="fixed"/>
        <w:tblLook w:firstColumn="1" w:firstRow="1" w:lastColumn="0" w:lastRow="0" w:noHBand="0" w:noVBand="1" w:val="04A0"/>
        <w:tblW w:w="5000" w:type="pct"/>
      </w:tblPr>
      <w:tblGrid>
        <w:gridCol w:w="2934"/>
        <w:gridCol w:w="1676"/>
        <w:gridCol w:w="1676"/>
        <w:gridCol w:w="1676"/>
        <w:gridCol w:w="1676"/>
      </w:tblGrid>
      <w:tr>
        <w:trPr>
          <w:tblHeader/>
          <w:cantSplit/>
        </w:trPr>
        <w:tc>
          <w:tcPr>
            <w:tcW w:type="dxa" w:w="2934"/>
            <w:shd w:fill="1E3A5F" w:val="clear"/>
            <w:vAlign w:val="center"/>
          </w:tcPr>
          <w:p>
            <w:pPr>
              <w:keepNext/>
              <w:spacing w:after="60" w:before="60"/>
              <w:jc w:val="left"/>
            </w:pPr>
            <w:r>
              <w:rPr>
                <w:rFonts w:ascii="Segoe UI Light" w:hAnsi="Segoe UI Light"/>
                <w:b/>
                <w:color w:val="FFFFFF"/>
                <w:sz w:val="18"/>
              </w:rPr>
              <w:t>Factor / scenario state</w:t>
            </w:r>
          </w:p>
        </w:tc>
        <w:tc>
          <w:tcPr>
            <w:tcW w:type="dxa" w:w="1676"/>
            <w:shd w:fill="1E3A5F" w:val="clear"/>
            <w:vAlign w:val="center"/>
          </w:tcPr>
          <w:p>
            <w:pPr>
              <w:keepNext/>
              <w:spacing w:after="60" w:before="60"/>
              <w:jc w:val="left"/>
            </w:pPr>
            <w:r>
              <w:rPr>
                <w:rFonts w:ascii="Segoe UI Light" w:hAnsi="Segoe UI Light"/>
                <w:b/>
                <w:color w:val="FFFFFF"/>
                <w:sz w:val="18"/>
              </w:rPr>
              <w:t>Work Engagement</w:t>
              <w:br/>
              <w:t>H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Burnout</w:t>
              <w:br/>
              <w:t>L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Psych Distress</w:t>
              <w:br/>
              <w:t>L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Sum (points)</w:t>
            </w:r>
          </w:p>
        </w:tc>
      </w:tr>
      <w:tr>
        <w:trPr>
          <w:cantSplit/>
        </w:trPr>
        <w:tc>
          <w:tcPr>
            <w:tcW w:type="dxa" w:w="2934"/>
            <w:vAlign w:val="center"/>
          </w:tcPr>
          <w:p>
            <w:pPr>
              <w:keepNext w:val="0"/>
              <w:spacing w:after="60" w:before="60"/>
              <w:jc w:val="left"/>
            </w:pPr>
            <w:r>
              <w:rPr>
                <w:rFonts w:ascii="Segoe UI Light" w:hAnsi="Segoe UI Light"/>
                <w:b w:val="0"/>
                <w:sz w:val="18"/>
              </w:rPr>
              <w:t>Role Overload</w:t>
              <w:br/>
              <w:t>Scenario state: L</w:t>
            </w:r>
          </w:p>
        </w:tc>
        <w:tc>
          <w:tcPr>
            <w:tcW w:type="dxa" w:w="1676"/>
            <w:vAlign w:val="center"/>
          </w:tcPr>
          <w:p>
            <w:pPr>
              <w:keepNext w:val="0"/>
              <w:spacing w:after="60" w:before="60"/>
              <w:jc w:val="center"/>
            </w:pPr>
            <w:r>
              <w:rPr>
                <w:rFonts w:ascii="Segoe UI Light" w:hAnsi="Segoe UI Light"/>
                <w:b w:val="0"/>
                <w:sz w:val="18"/>
              </w:rPr>
              <w:t>-1.1 pp</w:t>
            </w:r>
          </w:p>
        </w:tc>
        <w:tc>
          <w:tcPr>
            <w:tcW w:type="dxa" w:w="1676"/>
            <w:vAlign w:val="center"/>
          </w:tcPr>
          <w:p>
            <w:pPr>
              <w:keepNext w:val="0"/>
              <w:spacing w:after="60" w:before="60"/>
              <w:jc w:val="center"/>
            </w:pPr>
            <w:r>
              <w:rPr>
                <w:rFonts w:ascii="Segoe UI Light" w:hAnsi="Segoe UI Light"/>
                <w:b w:val="0"/>
                <w:sz w:val="18"/>
              </w:rPr>
              <w:t>+19.2 pp</w:t>
            </w:r>
          </w:p>
        </w:tc>
        <w:tc>
          <w:tcPr>
            <w:tcW w:type="dxa" w:w="1676"/>
            <w:vAlign w:val="center"/>
          </w:tcPr>
          <w:p>
            <w:pPr>
              <w:keepNext w:val="0"/>
              <w:spacing w:after="60" w:before="60"/>
              <w:jc w:val="center"/>
            </w:pPr>
            <w:r>
              <w:rPr>
                <w:rFonts w:ascii="Segoe UI Light" w:hAnsi="Segoe UI Light"/>
                <w:b w:val="0"/>
                <w:sz w:val="18"/>
              </w:rPr>
              <w:t>+10.9 pp</w:t>
            </w:r>
          </w:p>
        </w:tc>
        <w:tc>
          <w:tcPr>
            <w:tcW w:type="dxa" w:w="1676"/>
            <w:vAlign w:val="center"/>
          </w:tcPr>
          <w:p>
            <w:pPr>
              <w:keepNext w:val="0"/>
              <w:spacing w:after="60" w:before="60"/>
              <w:jc w:val="center"/>
            </w:pPr>
            <w:r>
              <w:rPr>
                <w:rFonts w:ascii="Segoe UI Light" w:hAnsi="Segoe UI Light"/>
                <w:b w:val="0"/>
                <w:sz w:val="18"/>
              </w:rPr>
              <w:t>+29.0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Work Life Conflict</w:t>
              <w:br/>
              <w:t>Scenario state: L</w:t>
            </w:r>
          </w:p>
        </w:tc>
        <w:tc>
          <w:tcPr>
            <w:tcW w:type="dxa" w:w="1676"/>
            <w:shd w:fill="F1F5F9" w:val="clear"/>
            <w:vAlign w:val="center"/>
          </w:tcPr>
          <w:p>
            <w:pPr>
              <w:keepNext w:val="0"/>
              <w:spacing w:after="60" w:before="60"/>
              <w:jc w:val="center"/>
            </w:pPr>
            <w:r>
              <w:rPr>
                <w:rFonts w:ascii="Segoe UI Light" w:hAnsi="Segoe UI Light"/>
                <w:b w:val="0"/>
                <w:sz w:val="18"/>
              </w:rPr>
              <w:t>+6.5 pp</w:t>
            </w:r>
          </w:p>
        </w:tc>
        <w:tc>
          <w:tcPr>
            <w:tcW w:type="dxa" w:w="1676"/>
            <w:shd w:fill="F1F5F9" w:val="clear"/>
            <w:vAlign w:val="center"/>
          </w:tcPr>
          <w:p>
            <w:pPr>
              <w:keepNext w:val="0"/>
              <w:spacing w:after="60" w:before="60"/>
              <w:jc w:val="center"/>
            </w:pPr>
            <w:r>
              <w:rPr>
                <w:rFonts w:ascii="Segoe UI Light" w:hAnsi="Segoe UI Light"/>
                <w:b w:val="0"/>
                <w:sz w:val="18"/>
              </w:rPr>
              <w:t>+9.2 pp</w:t>
            </w:r>
          </w:p>
        </w:tc>
        <w:tc>
          <w:tcPr>
            <w:tcW w:type="dxa" w:w="1676"/>
            <w:shd w:fill="F1F5F9" w:val="clear"/>
            <w:vAlign w:val="center"/>
          </w:tcPr>
          <w:p>
            <w:pPr>
              <w:keepNext w:val="0"/>
              <w:spacing w:after="60" w:before="60"/>
              <w:jc w:val="center"/>
            </w:pPr>
            <w:r>
              <w:rPr>
                <w:rFonts w:ascii="Segoe UI Light" w:hAnsi="Segoe UI Light"/>
                <w:b w:val="0"/>
                <w:sz w:val="18"/>
              </w:rPr>
              <w:t>+12.1 pp</w:t>
            </w:r>
          </w:p>
        </w:tc>
        <w:tc>
          <w:tcPr>
            <w:tcW w:type="dxa" w:w="1676"/>
            <w:shd w:fill="F1F5F9" w:val="clear"/>
            <w:vAlign w:val="center"/>
          </w:tcPr>
          <w:p>
            <w:pPr>
              <w:keepNext w:val="0"/>
              <w:spacing w:after="60" w:before="60"/>
              <w:jc w:val="center"/>
            </w:pPr>
            <w:r>
              <w:rPr>
                <w:rFonts w:ascii="Segoe UI Light" w:hAnsi="Segoe UI Light"/>
                <w:b w:val="0"/>
                <w:sz w:val="18"/>
              </w:rPr>
              <w:t>+27.8 points</w:t>
            </w:r>
          </w:p>
        </w:tc>
      </w:tr>
      <w:tr>
        <w:trPr>
          <w:cantSplit/>
        </w:trPr>
        <w:tc>
          <w:tcPr>
            <w:tcW w:type="dxa" w:w="2934"/>
            <w:vAlign w:val="center"/>
          </w:tcPr>
          <w:p>
            <w:pPr>
              <w:keepNext w:val="0"/>
              <w:spacing w:after="60" w:before="60"/>
              <w:jc w:val="left"/>
            </w:pPr>
            <w:r>
              <w:rPr>
                <w:rFonts w:ascii="Segoe UI Light" w:hAnsi="Segoe UI Light"/>
                <w:b w:val="0"/>
                <w:sz w:val="18"/>
              </w:rPr>
              <w:t>Recognition</w:t>
              <w:br/>
              <w:t>Scenario state: H</w:t>
            </w:r>
          </w:p>
        </w:tc>
        <w:tc>
          <w:tcPr>
            <w:tcW w:type="dxa" w:w="1676"/>
            <w:vAlign w:val="center"/>
          </w:tcPr>
          <w:p>
            <w:pPr>
              <w:keepNext w:val="0"/>
              <w:spacing w:after="60" w:before="60"/>
              <w:jc w:val="center"/>
            </w:pPr>
            <w:r>
              <w:rPr>
                <w:rFonts w:ascii="Segoe UI Light" w:hAnsi="Segoe UI Light"/>
                <w:b w:val="0"/>
                <w:sz w:val="18"/>
              </w:rPr>
              <w:t>+10.8 pp</w:t>
            </w:r>
          </w:p>
        </w:tc>
        <w:tc>
          <w:tcPr>
            <w:tcW w:type="dxa" w:w="1676"/>
            <w:vAlign w:val="center"/>
          </w:tcPr>
          <w:p>
            <w:pPr>
              <w:keepNext w:val="0"/>
              <w:spacing w:after="60" w:before="60"/>
              <w:jc w:val="center"/>
            </w:pPr>
            <w:r>
              <w:rPr>
                <w:rFonts w:ascii="Segoe UI Light" w:hAnsi="Segoe UI Light"/>
                <w:b w:val="0"/>
                <w:sz w:val="18"/>
              </w:rPr>
              <w:t>+5.5 pp</w:t>
            </w:r>
          </w:p>
        </w:tc>
        <w:tc>
          <w:tcPr>
            <w:tcW w:type="dxa" w:w="1676"/>
            <w:vAlign w:val="center"/>
          </w:tcPr>
          <w:p>
            <w:pPr>
              <w:keepNext w:val="0"/>
              <w:spacing w:after="60" w:before="60"/>
              <w:jc w:val="center"/>
            </w:pPr>
            <w:r>
              <w:rPr>
                <w:rFonts w:ascii="Segoe UI Light" w:hAnsi="Segoe UI Light"/>
                <w:b w:val="0"/>
                <w:sz w:val="18"/>
              </w:rPr>
              <w:t>+3.6 pp</w:t>
            </w:r>
          </w:p>
        </w:tc>
        <w:tc>
          <w:tcPr>
            <w:tcW w:type="dxa" w:w="1676"/>
            <w:vAlign w:val="center"/>
          </w:tcPr>
          <w:p>
            <w:pPr>
              <w:keepNext w:val="0"/>
              <w:spacing w:after="60" w:before="60"/>
              <w:jc w:val="center"/>
            </w:pPr>
            <w:r>
              <w:rPr>
                <w:rFonts w:ascii="Segoe UI Light" w:hAnsi="Segoe UI Light"/>
                <w:b w:val="0"/>
                <w:sz w:val="18"/>
              </w:rPr>
              <w:t>+19.9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Meaningful Work</w:t>
              <w:br/>
              <w:t>Scenario state: H</w:t>
            </w:r>
          </w:p>
        </w:tc>
        <w:tc>
          <w:tcPr>
            <w:tcW w:type="dxa" w:w="1676"/>
            <w:shd w:fill="F1F5F9" w:val="clear"/>
            <w:vAlign w:val="center"/>
          </w:tcPr>
          <w:p>
            <w:pPr>
              <w:keepNext w:val="0"/>
              <w:spacing w:after="60" w:before="60"/>
              <w:jc w:val="center"/>
            </w:pPr>
            <w:r>
              <w:rPr>
                <w:rFonts w:ascii="Segoe UI Light" w:hAnsi="Segoe UI Light"/>
                <w:b w:val="0"/>
                <w:sz w:val="18"/>
              </w:rPr>
              <w:t>+12.0 pp</w:t>
            </w:r>
          </w:p>
        </w:tc>
        <w:tc>
          <w:tcPr>
            <w:tcW w:type="dxa" w:w="1676"/>
            <w:shd w:fill="F1F5F9" w:val="clear"/>
            <w:vAlign w:val="center"/>
          </w:tcPr>
          <w:p>
            <w:pPr>
              <w:keepNext w:val="0"/>
              <w:spacing w:after="60" w:before="60"/>
              <w:jc w:val="center"/>
            </w:pPr>
            <w:r>
              <w:rPr>
                <w:rFonts w:ascii="Segoe UI Light" w:hAnsi="Segoe UI Light"/>
                <w:b w:val="0"/>
                <w:sz w:val="18"/>
              </w:rPr>
              <w:t>+4.2 pp</w:t>
            </w:r>
          </w:p>
        </w:tc>
        <w:tc>
          <w:tcPr>
            <w:tcW w:type="dxa" w:w="1676"/>
            <w:shd w:fill="F1F5F9" w:val="clear"/>
            <w:vAlign w:val="center"/>
          </w:tcPr>
          <w:p>
            <w:pPr>
              <w:keepNext w:val="0"/>
              <w:spacing w:after="60" w:before="60"/>
              <w:jc w:val="center"/>
            </w:pPr>
            <w:r>
              <w:rPr>
                <w:rFonts w:ascii="Segoe UI Light" w:hAnsi="Segoe UI Light"/>
                <w:b w:val="0"/>
                <w:sz w:val="18"/>
              </w:rPr>
              <w:t>+1.7 pp</w:t>
            </w:r>
          </w:p>
        </w:tc>
        <w:tc>
          <w:tcPr>
            <w:tcW w:type="dxa" w:w="1676"/>
            <w:shd w:fill="F1F5F9" w:val="clear"/>
            <w:vAlign w:val="center"/>
          </w:tcPr>
          <w:p>
            <w:pPr>
              <w:keepNext w:val="0"/>
              <w:spacing w:after="60" w:before="60"/>
              <w:jc w:val="center"/>
            </w:pPr>
            <w:r>
              <w:rPr>
                <w:rFonts w:ascii="Segoe UI Light" w:hAnsi="Segoe UI Light"/>
                <w:b w:val="0"/>
                <w:sz w:val="18"/>
              </w:rPr>
              <w:t>+17.9 points</w:t>
            </w:r>
          </w:p>
        </w:tc>
      </w:tr>
      <w:tr>
        <w:trPr>
          <w:cantSplit/>
        </w:trPr>
        <w:tc>
          <w:tcPr>
            <w:tcW w:type="dxa" w:w="2934"/>
            <w:vAlign w:val="center"/>
          </w:tcPr>
          <w:p>
            <w:pPr>
              <w:keepNext w:val="0"/>
              <w:spacing w:after="60" w:before="60"/>
              <w:jc w:val="left"/>
            </w:pPr>
            <w:r>
              <w:rPr>
                <w:rFonts w:ascii="Segoe UI Light" w:hAnsi="Segoe UI Light"/>
                <w:b w:val="0"/>
                <w:sz w:val="18"/>
              </w:rPr>
              <w:t>Procedural Justice</w:t>
              <w:br/>
              <w:t>Scenario state: H</w:t>
            </w:r>
          </w:p>
        </w:tc>
        <w:tc>
          <w:tcPr>
            <w:tcW w:type="dxa" w:w="1676"/>
            <w:vAlign w:val="center"/>
          </w:tcPr>
          <w:p>
            <w:pPr>
              <w:keepNext w:val="0"/>
              <w:spacing w:after="60" w:before="60"/>
              <w:jc w:val="center"/>
            </w:pPr>
            <w:r>
              <w:rPr>
                <w:rFonts w:ascii="Segoe UI Light" w:hAnsi="Segoe UI Light"/>
                <w:b w:val="0"/>
                <w:sz w:val="18"/>
              </w:rPr>
              <w:t>+5.8 pp</w:t>
            </w:r>
          </w:p>
        </w:tc>
        <w:tc>
          <w:tcPr>
            <w:tcW w:type="dxa" w:w="1676"/>
            <w:vAlign w:val="center"/>
          </w:tcPr>
          <w:p>
            <w:pPr>
              <w:keepNext w:val="0"/>
              <w:spacing w:after="60" w:before="60"/>
              <w:jc w:val="center"/>
            </w:pPr>
            <w:r>
              <w:rPr>
                <w:rFonts w:ascii="Segoe UI Light" w:hAnsi="Segoe UI Light"/>
                <w:b w:val="0"/>
                <w:sz w:val="18"/>
              </w:rPr>
              <w:t>+4.5 pp</w:t>
            </w:r>
          </w:p>
        </w:tc>
        <w:tc>
          <w:tcPr>
            <w:tcW w:type="dxa" w:w="1676"/>
            <w:vAlign w:val="center"/>
          </w:tcPr>
          <w:p>
            <w:pPr>
              <w:keepNext w:val="0"/>
              <w:spacing w:after="60" w:before="60"/>
              <w:jc w:val="center"/>
            </w:pPr>
            <w:r>
              <w:rPr>
                <w:rFonts w:ascii="Segoe UI Light" w:hAnsi="Segoe UI Light"/>
                <w:b w:val="0"/>
                <w:sz w:val="18"/>
              </w:rPr>
              <w:t>+3.4 pp</w:t>
            </w:r>
          </w:p>
        </w:tc>
        <w:tc>
          <w:tcPr>
            <w:tcW w:type="dxa" w:w="1676"/>
            <w:vAlign w:val="center"/>
          </w:tcPr>
          <w:p>
            <w:pPr>
              <w:keepNext w:val="0"/>
              <w:spacing w:after="60" w:before="60"/>
              <w:jc w:val="center"/>
            </w:pPr>
            <w:r>
              <w:rPr>
                <w:rFonts w:ascii="Segoe UI Light" w:hAnsi="Segoe UI Light"/>
                <w:b w:val="0"/>
                <w:sz w:val="18"/>
              </w:rPr>
              <w:t>+13.8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Emotional Demand</w:t>
              <w:br/>
              <w:t>Scenario state: L</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+7.9 pp</w:t>
            </w:r>
          </w:p>
        </w:tc>
        <w:tc>
          <w:tcPr>
            <w:tcW w:type="dxa" w:w="1676"/>
            <w:shd w:fill="F1F5F9" w:val="clear"/>
            <w:vAlign w:val="center"/>
          </w:tcPr>
          <w:p>
            <w:pPr>
              <w:keepNext w:val="0"/>
              <w:spacing w:after="60" w:before="60"/>
              <w:jc w:val="center"/>
            </w:pPr>
            <w:r>
              <w:rPr>
                <w:rFonts w:ascii="Segoe UI Light" w:hAnsi="Segoe UI Light"/>
                <w:b w:val="0"/>
                <w:sz w:val="18"/>
              </w:rPr>
              <w:t>+3.5 pp</w:t>
            </w:r>
          </w:p>
        </w:tc>
        <w:tc>
          <w:tcPr>
            <w:tcW w:type="dxa" w:w="1676"/>
            <w:shd w:fill="F1F5F9" w:val="clear"/>
            <w:vAlign w:val="center"/>
          </w:tcPr>
          <w:p>
            <w:pPr>
              <w:keepNext w:val="0"/>
              <w:spacing w:after="60" w:before="60"/>
              <w:jc w:val="center"/>
            </w:pPr>
            <w:r>
              <w:rPr>
                <w:rFonts w:ascii="Segoe UI Light" w:hAnsi="Segoe UI Light"/>
                <w:b w:val="0"/>
                <w:sz w:val="18"/>
              </w:rPr>
              <w:t>+11.4 points</w:t>
            </w:r>
          </w:p>
        </w:tc>
      </w:tr>
      <w:tr>
        <w:trPr>
          <w:cantSplit/>
        </w:trPr>
        <w:tc>
          <w:tcPr>
            <w:tcW w:type="dxa" w:w="2934"/>
            <w:vAlign w:val="center"/>
          </w:tcPr>
          <w:p>
            <w:pPr>
              <w:keepNext w:val="0"/>
              <w:spacing w:after="60" w:before="60"/>
              <w:jc w:val="left"/>
            </w:pPr>
            <w:r>
              <w:rPr>
                <w:rFonts w:ascii="Segoe UI Light" w:hAnsi="Segoe UI Light"/>
                <w:b w:val="0"/>
                <w:sz w:val="18"/>
              </w:rPr>
              <w:t>Supervisor Support</w:t>
              <w:br/>
              <w:t>Scenario state: H</w:t>
            </w:r>
          </w:p>
        </w:tc>
        <w:tc>
          <w:tcPr>
            <w:tcW w:type="dxa" w:w="1676"/>
            <w:vAlign w:val="center"/>
          </w:tcPr>
          <w:p>
            <w:pPr>
              <w:keepNext w:val="0"/>
              <w:spacing w:after="60" w:before="60"/>
              <w:jc w:val="center"/>
            </w:pPr>
            <w:r>
              <w:rPr>
                <w:rFonts w:ascii="Segoe UI Light" w:hAnsi="Segoe UI Light"/>
                <w:b w:val="0"/>
                <w:sz w:val="18"/>
              </w:rPr>
              <w:t>+5.5 pp</w:t>
            </w:r>
          </w:p>
        </w:tc>
        <w:tc>
          <w:tcPr>
            <w:tcW w:type="dxa" w:w="1676"/>
            <w:vAlign w:val="center"/>
          </w:tcPr>
          <w:p>
            <w:pPr>
              <w:keepNext w:val="0"/>
              <w:spacing w:after="60" w:before="60"/>
              <w:jc w:val="center"/>
            </w:pPr>
            <w:r>
              <w:rPr>
                <w:rFonts w:ascii="Segoe UI Light" w:hAnsi="Segoe UI Light"/>
                <w:b w:val="0"/>
                <w:sz w:val="18"/>
              </w:rPr>
              <w:t>+2.6 pp</w:t>
            </w:r>
          </w:p>
        </w:tc>
        <w:tc>
          <w:tcPr>
            <w:tcW w:type="dxa" w:w="1676"/>
            <w:vAlign w:val="center"/>
          </w:tcPr>
          <w:p>
            <w:pPr>
              <w:keepNext w:val="0"/>
              <w:spacing w:after="60" w:before="60"/>
              <w:jc w:val="center"/>
            </w:pPr>
            <w:r>
              <w:rPr>
                <w:rFonts w:ascii="Segoe UI Light" w:hAnsi="Segoe UI Light"/>
                <w:b w:val="0"/>
                <w:sz w:val="18"/>
              </w:rPr>
              <w:t>+2.0 pp</w:t>
            </w:r>
          </w:p>
        </w:tc>
        <w:tc>
          <w:tcPr>
            <w:tcW w:type="dxa" w:w="1676"/>
            <w:vAlign w:val="center"/>
          </w:tcPr>
          <w:p>
            <w:pPr>
              <w:keepNext w:val="0"/>
              <w:spacing w:after="60" w:before="60"/>
              <w:jc w:val="center"/>
            </w:pPr>
            <w:r>
              <w:rPr>
                <w:rFonts w:ascii="Segoe UI Light" w:hAnsi="Segoe UI Light"/>
                <w:b w:val="0"/>
                <w:sz w:val="18"/>
              </w:rPr>
              <w:t>+10.1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Psychological Safety</w:t>
              <w:br/>
              <w:t>Scenario state: H</w:t>
            </w:r>
          </w:p>
        </w:tc>
        <w:tc>
          <w:tcPr>
            <w:tcW w:type="dxa" w:w="1676"/>
            <w:shd w:fill="F1F5F9" w:val="clear"/>
            <w:vAlign w:val="center"/>
          </w:tcPr>
          <w:p>
            <w:pPr>
              <w:keepNext w:val="0"/>
              <w:spacing w:after="60" w:before="60"/>
              <w:jc w:val="center"/>
            </w:pPr>
            <w:r>
              <w:rPr>
                <w:rFonts w:ascii="Segoe UI Light" w:hAnsi="Segoe UI Light"/>
                <w:b w:val="0"/>
                <w:sz w:val="18"/>
              </w:rPr>
              <w:t>+3.2 pp</w:t>
            </w:r>
          </w:p>
        </w:tc>
        <w:tc>
          <w:tcPr>
            <w:tcW w:type="dxa" w:w="1676"/>
            <w:shd w:fill="F1F5F9" w:val="clear"/>
            <w:vAlign w:val="center"/>
          </w:tcPr>
          <w:p>
            <w:pPr>
              <w:keepNext w:val="0"/>
              <w:spacing w:after="60" w:before="60"/>
              <w:jc w:val="center"/>
            </w:pPr>
            <w:r>
              <w:rPr>
                <w:rFonts w:ascii="Segoe UI Light" w:hAnsi="Segoe UI Light"/>
                <w:b w:val="0"/>
                <w:sz w:val="18"/>
              </w:rPr>
              <w:t>+1.9 pp</w:t>
            </w:r>
          </w:p>
        </w:tc>
        <w:tc>
          <w:tcPr>
            <w:tcW w:type="dxa" w:w="1676"/>
            <w:shd w:fill="F1F5F9" w:val="clear"/>
            <w:vAlign w:val="center"/>
          </w:tcPr>
          <w:p>
            <w:pPr>
              <w:keepNext w:val="0"/>
              <w:spacing w:after="60" w:before="60"/>
              <w:jc w:val="center"/>
            </w:pPr>
            <w:r>
              <w:rPr>
                <w:rFonts w:ascii="Segoe UI Light" w:hAnsi="Segoe UI Light"/>
                <w:b w:val="0"/>
                <w:sz w:val="18"/>
              </w:rPr>
              <w:t>+1.7 pp</w:t>
            </w:r>
          </w:p>
        </w:tc>
        <w:tc>
          <w:tcPr>
            <w:tcW w:type="dxa" w:w="1676"/>
            <w:shd w:fill="F1F5F9" w:val="clear"/>
            <w:vAlign w:val="center"/>
          </w:tcPr>
          <w:p>
            <w:pPr>
              <w:keepNext w:val="0"/>
              <w:spacing w:after="60" w:before="60"/>
              <w:jc w:val="center"/>
            </w:pPr>
            <w:r>
              <w:rPr>
                <w:rFonts w:ascii="Segoe UI Light" w:hAnsi="Segoe UI Light"/>
                <w:b w:val="0"/>
                <w:sz w:val="18"/>
              </w:rPr>
              <w:t>+6.8 points</w:t>
            </w:r>
          </w:p>
        </w:tc>
      </w:tr>
      <w:tr>
        <w:trPr>
          <w:cantSplit/>
        </w:trPr>
        <w:tc>
          <w:tcPr>
            <w:tcW w:type="dxa" w:w="2934"/>
            <w:vAlign w:val="center"/>
          </w:tcPr>
          <w:p>
            <w:pPr>
              <w:keepNext w:val="0"/>
              <w:spacing w:after="60" w:before="60"/>
              <w:jc w:val="left"/>
            </w:pPr>
            <w:r>
              <w:rPr>
                <w:rFonts w:ascii="Segoe UI Light" w:hAnsi="Segoe UI Light"/>
                <w:b w:val="0"/>
                <w:sz w:val="18"/>
              </w:rPr>
              <w:t>Change Consultation</w:t>
              <w:br/>
              <w:t>Scenario state: H</w:t>
            </w:r>
          </w:p>
        </w:tc>
        <w:tc>
          <w:tcPr>
            <w:tcW w:type="dxa" w:w="1676"/>
            <w:vAlign w:val="center"/>
          </w:tcPr>
          <w:p>
            <w:pPr>
              <w:keepNext w:val="0"/>
              <w:spacing w:after="60" w:before="60"/>
              <w:jc w:val="center"/>
            </w:pPr>
            <w:r>
              <w:rPr>
                <w:rFonts w:ascii="Segoe UI Light" w:hAnsi="Segoe UI Light"/>
                <w:b w:val="0"/>
                <w:sz w:val="18"/>
              </w:rPr>
              <w:t>+3.1 pp</w:t>
            </w:r>
          </w:p>
        </w:tc>
        <w:tc>
          <w:tcPr>
            <w:tcW w:type="dxa" w:w="1676"/>
            <w:vAlign w:val="center"/>
          </w:tcPr>
          <w:p>
            <w:pPr>
              <w:keepNext w:val="0"/>
              <w:spacing w:after="60" w:before="60"/>
              <w:jc w:val="center"/>
            </w:pPr>
            <w:r>
              <w:rPr>
                <w:rFonts w:ascii="Segoe UI Light" w:hAnsi="Segoe UI Light"/>
                <w:b w:val="0"/>
                <w:sz w:val="18"/>
              </w:rPr>
              <w:t>+1.5 pp</w:t>
            </w:r>
          </w:p>
        </w:tc>
        <w:tc>
          <w:tcPr>
            <w:tcW w:type="dxa" w:w="1676"/>
            <w:vAlign w:val="center"/>
          </w:tcPr>
          <w:p>
            <w:pPr>
              <w:keepNext w:val="0"/>
              <w:spacing w:after="60" w:before="60"/>
              <w:jc w:val="center"/>
            </w:pPr>
            <w:r>
              <w:rPr>
                <w:rFonts w:ascii="Segoe UI Light" w:hAnsi="Segoe UI Light"/>
                <w:b w:val="0"/>
                <w:sz w:val="18"/>
              </w:rPr>
              <w:t>+2.2 pp</w:t>
            </w:r>
          </w:p>
        </w:tc>
        <w:tc>
          <w:tcPr>
            <w:tcW w:type="dxa" w:w="1676"/>
            <w:vAlign w:val="center"/>
          </w:tcPr>
          <w:p>
            <w:pPr>
              <w:keepNext w:val="0"/>
              <w:spacing w:after="60" w:before="60"/>
              <w:jc w:val="center"/>
            </w:pPr>
            <w:r>
              <w:rPr>
                <w:rFonts w:ascii="Segoe UI Light" w:hAnsi="Segoe UI Light"/>
                <w:b w:val="0"/>
                <w:sz w:val="18"/>
              </w:rPr>
              <w:t>+6.7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Development Growth</w:t>
              <w:br/>
              <w:t>Scenario state: H</w:t>
            </w:r>
          </w:p>
        </w:tc>
        <w:tc>
          <w:tcPr>
            <w:tcW w:type="dxa" w:w="1676"/>
            <w:shd w:fill="F1F5F9" w:val="clear"/>
            <w:vAlign w:val="center"/>
          </w:tcPr>
          <w:p>
            <w:pPr>
              <w:keepNext w:val="0"/>
              <w:spacing w:after="60" w:before="60"/>
              <w:jc w:val="center"/>
            </w:pPr>
            <w:r>
              <w:rPr>
                <w:rFonts w:ascii="Segoe UI Light" w:hAnsi="Segoe UI Light"/>
                <w:b w:val="0"/>
                <w:sz w:val="18"/>
              </w:rPr>
              <w:t>+3.8 pp</w:t>
            </w:r>
          </w:p>
        </w:tc>
        <w:tc>
          <w:tcPr>
            <w:tcW w:type="dxa" w:w="1676"/>
            <w:shd w:fill="F1F5F9" w:val="clear"/>
            <w:vAlign w:val="center"/>
          </w:tcPr>
          <w:p>
            <w:pPr>
              <w:keepNext w:val="0"/>
              <w:spacing w:after="60" w:before="60"/>
              <w:jc w:val="center"/>
            </w:pPr>
            <w:r>
              <w:rPr>
                <w:rFonts w:ascii="Segoe UI Light" w:hAnsi="Segoe UI Light"/>
                <w:b w:val="0"/>
                <w:sz w:val="18"/>
              </w:rPr>
              <w:t>+0.5 pp</w:t>
            </w:r>
          </w:p>
        </w:tc>
        <w:tc>
          <w:tcPr>
            <w:tcW w:type="dxa" w:w="1676"/>
            <w:shd w:fill="F1F5F9" w:val="clear"/>
            <w:vAlign w:val="center"/>
          </w:tcPr>
          <w:p>
            <w:pPr>
              <w:keepNext w:val="0"/>
              <w:spacing w:after="60" w:before="60"/>
              <w:jc w:val="center"/>
            </w:pPr>
            <w:r>
              <w:rPr>
                <w:rFonts w:ascii="Segoe UI Light" w:hAnsi="Segoe UI Light"/>
                <w:b w:val="0"/>
                <w:sz w:val="18"/>
              </w:rPr>
              <w:t>+1.0 pp</w:t>
            </w:r>
          </w:p>
        </w:tc>
        <w:tc>
          <w:tcPr>
            <w:tcW w:type="dxa" w:w="1676"/>
            <w:shd w:fill="F1F5F9" w:val="clear"/>
            <w:vAlign w:val="center"/>
          </w:tcPr>
          <w:p>
            <w:pPr>
              <w:keepNext w:val="0"/>
              <w:spacing w:after="60" w:before="60"/>
              <w:jc w:val="center"/>
            </w:pPr>
            <w:r>
              <w:rPr>
                <w:rFonts w:ascii="Segoe UI Light" w:hAnsi="Segoe UI Light"/>
                <w:b w:val="0"/>
                <w:sz w:val="18"/>
              </w:rPr>
              <w:t>+5.4 points</w:t>
            </w:r>
          </w:p>
        </w:tc>
      </w:tr>
      <w:tr>
        <w:trPr>
          <w:cantSplit/>
        </w:trPr>
        <w:tc>
          <w:tcPr>
            <w:tcW w:type="dxa" w:w="2934"/>
            <w:vAlign w:val="center"/>
          </w:tcPr>
          <w:p>
            <w:pPr>
              <w:keepNext w:val="0"/>
              <w:spacing w:after="60" w:before="60"/>
              <w:jc w:val="left"/>
            </w:pPr>
            <w:r>
              <w:rPr>
                <w:rFonts w:ascii="Segoe UI Light" w:hAnsi="Segoe UI Light"/>
                <w:b w:val="0"/>
                <w:sz w:val="18"/>
              </w:rPr>
              <w:t>Job Insecurity</w:t>
              <w:br/>
              <w:t>Scenario state: L</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+4.3 pp</w:t>
            </w:r>
          </w:p>
        </w:tc>
        <w:tc>
          <w:tcPr>
            <w:tcW w:type="dxa" w:w="1676"/>
            <w:vAlign w:val="center"/>
          </w:tcPr>
          <w:p>
            <w:pPr>
              <w:keepNext w:val="0"/>
              <w:spacing w:after="60" w:before="60"/>
              <w:jc w:val="center"/>
            </w:pPr>
            <w:r>
              <w:rPr>
                <w:rFonts w:ascii="Segoe UI Light" w:hAnsi="Segoe UI Light"/>
                <w:b w:val="0"/>
                <w:sz w:val="18"/>
              </w:rPr>
              <w:t>+4.3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Coworker Support</w:t>
              <w:br/>
              <w:t>Scenario state: H</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Job Control</w:t>
              <w:br/>
              <w:t>Scenario state: H</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Role Ambiguity</w:t>
              <w:br/>
              <w:t>Scenario state: L</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Role Conflict</w:t>
              <w:br/>
              <w:t>Scenario state: L</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Workplace Relationships</w:t>
              <w:br/>
              <w:t>Scenario state: H</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Cognitive Demand</w:t>
              <w:br/>
              <w:t>Scenario state: L</w:t>
            </w:r>
          </w:p>
        </w:tc>
        <w:tc>
          <w:tcPr>
            <w:tcW w:type="dxa" w:w="1676"/>
            <w:vAlign w:val="center"/>
          </w:tcPr>
          <w:p>
            <w:pPr>
              <w:keepNext w:val="0"/>
              <w:spacing w:after="60" w:before="60"/>
              <w:jc w:val="center"/>
            </w:pPr>
            <w:r>
              <w:rPr>
                <w:rFonts w:ascii="Segoe UI Light" w:hAnsi="Segoe UI Light"/>
                <w:b w:val="0"/>
                <w:sz w:val="18"/>
              </w:rPr>
              <w:t>-18.4 pp</w:t>
            </w:r>
          </w:p>
        </w:tc>
        <w:tc>
          <w:tcPr>
            <w:tcW w:type="dxa" w:w="1676"/>
            <w:vAlign w:val="center"/>
          </w:tcPr>
          <w:p>
            <w:pPr>
              <w:keepNext w:val="0"/>
              <w:spacing w:after="60" w:before="60"/>
              <w:jc w:val="center"/>
            </w:pPr>
            <w:r>
              <w:rPr>
                <w:rFonts w:ascii="Segoe UI Light" w:hAnsi="Segoe UI Light"/>
                <w:b w:val="0"/>
                <w:sz w:val="18"/>
              </w:rPr>
              <w:t>-4.3 pp</w:t>
            </w:r>
          </w:p>
        </w:tc>
        <w:tc>
          <w:tcPr>
            <w:tcW w:type="dxa" w:w="1676"/>
            <w:vAlign w:val="center"/>
          </w:tcPr>
          <w:p>
            <w:pPr>
              <w:keepNext w:val="0"/>
              <w:spacing w:after="60" w:before="60"/>
              <w:jc w:val="center"/>
            </w:pPr>
            <w:r>
              <w:rPr>
                <w:rFonts w:ascii="Segoe UI Light" w:hAnsi="Segoe UI Light"/>
                <w:b w:val="0"/>
                <w:sz w:val="18"/>
              </w:rPr>
              <w:t>-1.5 pp</w:t>
            </w:r>
          </w:p>
        </w:tc>
        <w:tc>
          <w:tcPr>
            <w:tcW w:type="dxa" w:w="1676"/>
            <w:vAlign w:val="center"/>
          </w:tcPr>
          <w:p>
            <w:pPr>
              <w:keepNext w:val="0"/>
              <w:spacing w:after="60" w:before="60"/>
              <w:jc w:val="center"/>
            </w:pPr>
            <w:r>
              <w:rPr>
                <w:rFonts w:ascii="Segoe UI Light" w:hAnsi="Segoe UI Light"/>
                <w:b w:val="0"/>
                <w:sz w:val="18"/>
              </w:rPr>
              <w:t>-24.3 points</w:t>
            </w:r>
          </w:p>
        </w:tc>
      </w:tr>
    </w:tbl>
    <w:p>
      <w:bookmarkStart w:id="24" w:name="_PWToc24"/>
      <w:pPr>
        <w:pStyle w:val="Heading2"/>
        <w:pageBreakBefore/>
      </w:pPr>
      <w:r>
        <w:rPr>
          <w:rFonts w:ascii="Segoe UI Light" w:hAnsi="Segoe UI Light"/>
          <w:b/>
          <w:color w:val="2D5A8E"/>
          <w:sz w:val="22"/>
        </w:rPr>
        <w:t>A4 – Combined Scenarios: Factors Moved Together</w:t>
      </w:r>
      <w:bookmarkEnd w:id="24"/>
    </w:p>
    <w:p>
      <w:pPr>
        <w:spacing w:after="160"/>
      </w:pPr>
      <w:r>
        <w:rPr>
          <w:rFonts w:ascii="Segoe UI Light" w:hAnsi="Segoe UI Light"/>
          <w:color w:val="64748B"/>
          <w:sz w:val="20"/>
        </w:rPr>
        <w:t>These scenarios compare several changes together with the starting model. Their joint effect may be larger or smaller than the sum of separate comparisons. The calculation alone does not establish why, how quickly benefits would appear, or whether an action is feasible. Read each outcome separately.</w:t>
      </w:r>
    </w:p>
    <w:p>
      <w:pPr>
        <w:pStyle w:val="Heading3"/>
      </w:pPr>
      <w:r>
        <w:rPr>
          <w:rFonts w:ascii="Segoe UI Light" w:hAnsi="Segoe UI Light"/>
          <w:b/>
          <w:color w:val="2D5A8E"/>
          <w:sz w:val="21"/>
        </w:rPr>
        <w:t>Top combined scenarios: Work Engagement</w:t>
      </w:r>
    </w:p>
    <w:p>
      <w:pPr>
        <w:spacing w:after="160"/>
      </w:pPr>
      <w:r>
        <w:rPr>
          <w:rFonts w:ascii="Segoe UI Light" w:hAnsi="Segoe UI Light"/>
          <w:color w:val="64748B"/>
          <w:sz w:val="20"/>
        </w:rPr>
        <w:t>H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Work Life Conflict (L) + Recognition (H) + Meaningful Work (H)</w:t>
            </w:r>
          </w:p>
        </w:tc>
        <w:tc>
          <w:tcPr>
            <w:tcW w:type="dxa" w:w="1700"/>
            <w:vAlign w:val="center"/>
          </w:tcPr>
          <w:p>
            <w:pPr>
              <w:keepNext/>
              <w:spacing w:after="60" w:before="60"/>
              <w:jc w:val="center"/>
            </w:pPr>
            <w:r>
              <w:rPr>
                <w:rFonts w:ascii="Segoe UI Light" w:hAnsi="Segoe UI Light"/>
                <w:b w:val="0"/>
                <w:sz w:val="18"/>
              </w:rPr>
              <w:t>34.1%</w:t>
            </w:r>
          </w:p>
        </w:tc>
        <w:tc>
          <w:tcPr>
            <w:tcW w:type="dxa" w:w="1700"/>
            <w:vAlign w:val="center"/>
          </w:tcPr>
          <w:p>
            <w:pPr>
              <w:keepNext/>
              <w:spacing w:after="60" w:before="60"/>
              <w:jc w:val="center"/>
            </w:pPr>
            <w:r>
              <w:rPr>
                <w:rFonts w:ascii="Segoe UI Light" w:hAnsi="Segoe UI Light"/>
                <w:b w:val="0"/>
                <w:sz w:val="18"/>
              </w:rPr>
              <w:t>64.0%</w:t>
            </w:r>
          </w:p>
        </w:tc>
        <w:tc>
          <w:tcPr>
            <w:tcW w:type="dxa" w:w="1700"/>
            <w:vAlign w:val="center"/>
          </w:tcPr>
          <w:p>
            <w:pPr>
              <w:keepNext/>
              <w:spacing w:after="60" w:before="60"/>
              <w:jc w:val="center"/>
            </w:pPr>
            <w:r>
              <w:rPr>
                <w:rFonts w:ascii="Segoe UI Light" w:hAnsi="Segoe UI Light"/>
                <w:b w:val="0"/>
                <w:sz w:val="18"/>
              </w:rPr>
              <w:t>+29.8 pp</w:t>
            </w:r>
          </w:p>
        </w:tc>
      </w:tr>
      <w:tr>
        <w:trPr>
          <w:cantSplit/>
        </w:trPr>
        <w:tc>
          <w:tcPr>
            <w:tcW w:type="dxa" w:w="4535"/>
            <w:shd w:fill="F1F5F9" w:val="clear"/>
            <w:vAlign w:val="center"/>
          </w:tcPr>
          <w:p>
            <w:pPr>
              <w:keepNext/>
              <w:spacing w:after="60" w:before="60"/>
              <w:jc w:val="left"/>
            </w:pPr>
            <w:r>
              <w:rPr>
                <w:rFonts w:ascii="Segoe UI Light" w:hAnsi="Segoe UI Light"/>
                <w:b w:val="0"/>
                <w:sz w:val="18"/>
              </w:rPr>
              <w:t>Work Life Conflict (L) + Procedural Justice (H) + Meaningful Work (H)</w:t>
            </w:r>
          </w:p>
        </w:tc>
        <w:tc>
          <w:tcPr>
            <w:tcW w:type="dxa" w:w="1700"/>
            <w:shd w:fill="F1F5F9" w:val="clear"/>
            <w:vAlign w:val="center"/>
          </w:tcPr>
          <w:p>
            <w:pPr>
              <w:keepNext/>
              <w:spacing w:after="60" w:before="60"/>
              <w:jc w:val="center"/>
            </w:pPr>
            <w:r>
              <w:rPr>
                <w:rFonts w:ascii="Segoe UI Light" w:hAnsi="Segoe UI Light"/>
                <w:b w:val="0"/>
                <w:sz w:val="18"/>
              </w:rPr>
              <w:t>34.1%</w:t>
            </w:r>
          </w:p>
        </w:tc>
        <w:tc>
          <w:tcPr>
            <w:tcW w:type="dxa" w:w="1700"/>
            <w:shd w:fill="F1F5F9" w:val="clear"/>
            <w:vAlign w:val="center"/>
          </w:tcPr>
          <w:p>
            <w:pPr>
              <w:keepNext/>
              <w:spacing w:after="60" w:before="60"/>
              <w:jc w:val="center"/>
            </w:pPr>
            <w:r>
              <w:rPr>
                <w:rFonts w:ascii="Segoe UI Light" w:hAnsi="Segoe UI Light"/>
                <w:b w:val="0"/>
                <w:sz w:val="18"/>
              </w:rPr>
              <w:t>58.1%</w:t>
            </w:r>
          </w:p>
        </w:tc>
        <w:tc>
          <w:tcPr>
            <w:tcW w:type="dxa" w:w="1700"/>
            <w:shd w:fill="F1F5F9" w:val="clear"/>
            <w:vAlign w:val="center"/>
          </w:tcPr>
          <w:p>
            <w:pPr>
              <w:keepNext/>
              <w:spacing w:after="60" w:before="60"/>
              <w:jc w:val="center"/>
            </w:pPr>
            <w:r>
              <w:rPr>
                <w:rFonts w:ascii="Segoe UI Light" w:hAnsi="Segoe UI Light"/>
                <w:b w:val="0"/>
                <w:sz w:val="18"/>
              </w:rPr>
              <w:t>+24.0 pp</w:t>
            </w:r>
          </w:p>
        </w:tc>
      </w:tr>
      <w:tr>
        <w:trPr>
          <w:cantSplit/>
        </w:trPr>
        <w:tc>
          <w:tcPr>
            <w:tcW w:type="dxa" w:w="4535"/>
            <w:vAlign w:val="center"/>
          </w:tcPr>
          <w:p>
            <w:pPr>
              <w:keepNext/>
              <w:spacing w:after="60" w:before="60"/>
              <w:jc w:val="left"/>
            </w:pPr>
            <w:r>
              <w:rPr>
                <w:rFonts w:ascii="Segoe UI Light" w:hAnsi="Segoe UI Light"/>
                <w:b w:val="0"/>
                <w:sz w:val="18"/>
              </w:rPr>
              <w:t>Recognition (H) + Meaningful Work (H) + Psychological Safety (H)</w:t>
            </w:r>
          </w:p>
        </w:tc>
        <w:tc>
          <w:tcPr>
            <w:tcW w:type="dxa" w:w="1700"/>
            <w:vAlign w:val="center"/>
          </w:tcPr>
          <w:p>
            <w:pPr>
              <w:keepNext/>
              <w:spacing w:after="60" w:before="60"/>
              <w:jc w:val="center"/>
            </w:pPr>
            <w:r>
              <w:rPr>
                <w:rFonts w:ascii="Segoe UI Light" w:hAnsi="Segoe UI Light"/>
                <w:b w:val="0"/>
                <w:sz w:val="18"/>
              </w:rPr>
              <w:t>34.1%</w:t>
            </w:r>
          </w:p>
        </w:tc>
        <w:tc>
          <w:tcPr>
            <w:tcW w:type="dxa" w:w="1700"/>
            <w:vAlign w:val="center"/>
          </w:tcPr>
          <w:p>
            <w:pPr>
              <w:keepNext/>
              <w:spacing w:after="60" w:before="60"/>
              <w:jc w:val="center"/>
            </w:pPr>
            <w:r>
              <w:rPr>
                <w:rFonts w:ascii="Segoe UI Light" w:hAnsi="Segoe UI Light"/>
                <w:b w:val="0"/>
                <w:sz w:val="18"/>
              </w:rPr>
              <w:t>58.0%</w:t>
            </w:r>
          </w:p>
        </w:tc>
        <w:tc>
          <w:tcPr>
            <w:tcW w:type="dxa" w:w="1700"/>
            <w:vAlign w:val="center"/>
          </w:tcPr>
          <w:p>
            <w:pPr>
              <w:keepNext/>
              <w:spacing w:after="60" w:before="60"/>
              <w:jc w:val="center"/>
            </w:pPr>
            <w:r>
              <w:rPr>
                <w:rFonts w:ascii="Segoe UI Light" w:hAnsi="Segoe UI Light"/>
                <w:b w:val="0"/>
                <w:sz w:val="18"/>
              </w:rPr>
              <w:t>+23.9 pp</w:t>
            </w:r>
          </w:p>
        </w:tc>
      </w:tr>
      <w:tr>
        <w:trPr>
          <w:cantSplit/>
        </w:trPr>
        <w:tc>
          <w:tcPr>
            <w:tcW w:type="dxa" w:w="4535"/>
            <w:shd w:fill="F1F5F9" w:val="clear"/>
            <w:vAlign w:val="center"/>
          </w:tcPr>
          <w:p>
            <w:pPr>
              <w:keepNext/>
              <w:spacing w:after="60" w:before="60"/>
              <w:jc w:val="left"/>
            </w:pPr>
            <w:r>
              <w:rPr>
                <w:rFonts w:ascii="Segoe UI Light" w:hAnsi="Segoe UI Light"/>
                <w:b w:val="0"/>
                <w:sz w:val="18"/>
              </w:rPr>
              <w:t>Work Life Conflict (L) + Supervisor Support (H) + Meaningful Work (H)</w:t>
            </w:r>
          </w:p>
        </w:tc>
        <w:tc>
          <w:tcPr>
            <w:tcW w:type="dxa" w:w="1700"/>
            <w:shd w:fill="F1F5F9" w:val="clear"/>
            <w:vAlign w:val="center"/>
          </w:tcPr>
          <w:p>
            <w:pPr>
              <w:keepNext/>
              <w:spacing w:after="60" w:before="60"/>
              <w:jc w:val="center"/>
            </w:pPr>
            <w:r>
              <w:rPr>
                <w:rFonts w:ascii="Segoe UI Light" w:hAnsi="Segoe UI Light"/>
                <w:b w:val="0"/>
                <w:sz w:val="18"/>
              </w:rPr>
              <w:t>34.1%</w:t>
            </w:r>
          </w:p>
        </w:tc>
        <w:tc>
          <w:tcPr>
            <w:tcW w:type="dxa" w:w="1700"/>
            <w:shd w:fill="F1F5F9" w:val="clear"/>
            <w:vAlign w:val="center"/>
          </w:tcPr>
          <w:p>
            <w:pPr>
              <w:keepNext/>
              <w:spacing w:after="60" w:before="60"/>
              <w:jc w:val="center"/>
            </w:pPr>
            <w:r>
              <w:rPr>
                <w:rFonts w:ascii="Segoe UI Light" w:hAnsi="Segoe UI Light"/>
                <w:b w:val="0"/>
                <w:sz w:val="18"/>
              </w:rPr>
              <w:t>57.8%</w:t>
            </w:r>
          </w:p>
        </w:tc>
        <w:tc>
          <w:tcPr>
            <w:tcW w:type="dxa" w:w="1700"/>
            <w:shd w:fill="F1F5F9" w:val="clear"/>
            <w:vAlign w:val="center"/>
          </w:tcPr>
          <w:p>
            <w:pPr>
              <w:keepNext/>
              <w:spacing w:after="60" w:before="60"/>
              <w:jc w:val="center"/>
            </w:pPr>
            <w:r>
              <w:rPr>
                <w:rFonts w:ascii="Segoe UI Light" w:hAnsi="Segoe UI Light"/>
                <w:b w:val="0"/>
                <w:sz w:val="18"/>
              </w:rPr>
              <w:t>+23.6 pp</w:t>
            </w:r>
          </w:p>
        </w:tc>
      </w:tr>
      <w:tr>
        <w:trPr>
          <w:cantSplit/>
        </w:trPr>
        <w:tc>
          <w:tcPr>
            <w:tcW w:type="dxa" w:w="4535"/>
            <w:vAlign w:val="center"/>
          </w:tcPr>
          <w:p>
            <w:pPr>
              <w:keepNext w:val="0"/>
              <w:spacing w:after="60" w:before="60"/>
              <w:jc w:val="left"/>
            </w:pPr>
            <w:r>
              <w:rPr>
                <w:rFonts w:ascii="Segoe UI Light" w:hAnsi="Segoe UI Light"/>
                <w:b w:val="0"/>
                <w:sz w:val="18"/>
              </w:rPr>
              <w:t>Supervisor Support (H) + Recognition (H) + Meaningful Work (H)</w:t>
            </w:r>
          </w:p>
        </w:tc>
        <w:tc>
          <w:tcPr>
            <w:tcW w:type="dxa" w:w="1700"/>
            <w:vAlign w:val="center"/>
          </w:tcPr>
          <w:p>
            <w:pPr>
              <w:keepNext w:val="0"/>
              <w:spacing w:after="60" w:before="60"/>
              <w:jc w:val="center"/>
            </w:pPr>
            <w:r>
              <w:rPr>
                <w:rFonts w:ascii="Segoe UI Light" w:hAnsi="Segoe UI Light"/>
                <w:b w:val="0"/>
                <w:sz w:val="18"/>
              </w:rPr>
              <w:t>34.1%</w:t>
            </w:r>
          </w:p>
        </w:tc>
        <w:tc>
          <w:tcPr>
            <w:tcW w:type="dxa" w:w="1700"/>
            <w:vAlign w:val="center"/>
          </w:tcPr>
          <w:p>
            <w:pPr>
              <w:keepNext w:val="0"/>
              <w:spacing w:after="60" w:before="60"/>
              <w:jc w:val="center"/>
            </w:pPr>
            <w:r>
              <w:rPr>
                <w:rFonts w:ascii="Segoe UI Light" w:hAnsi="Segoe UI Light"/>
                <w:b w:val="0"/>
                <w:sz w:val="18"/>
              </w:rPr>
              <w:t>57.5%</w:t>
            </w:r>
          </w:p>
        </w:tc>
        <w:tc>
          <w:tcPr>
            <w:tcW w:type="dxa" w:w="1700"/>
            <w:vAlign w:val="center"/>
          </w:tcPr>
          <w:p>
            <w:pPr>
              <w:keepNext w:val="0"/>
              <w:spacing w:after="60" w:before="60"/>
              <w:jc w:val="center"/>
            </w:pPr>
            <w:r>
              <w:rPr>
                <w:rFonts w:ascii="Segoe UI Light" w:hAnsi="Segoe UI Light"/>
                <w:b w:val="0"/>
                <w:sz w:val="18"/>
              </w:rPr>
              <w:t>+23.3 pp</w:t>
            </w:r>
          </w:p>
        </w:tc>
      </w:tr>
    </w:tbl>
    <w:p>
      <w:pPr>
        <w:pStyle w:val="Heading3"/>
      </w:pPr>
      <w:r>
        <w:rPr>
          <w:rFonts w:ascii="Segoe UI Light" w:hAnsi="Segoe UI Light"/>
          <w:b/>
          <w:color w:val="2D5A8E"/>
          <w:sz w:val="21"/>
        </w:rPr>
        <w:t>Top combined scenarios: Burnout</w:t>
      </w:r>
    </w:p>
    <w:p>
      <w:pPr>
        <w:spacing w:after="160"/>
      </w:pPr>
      <w:r>
        <w:rPr>
          <w:rFonts w:ascii="Segoe UI Light" w:hAnsi="Segoe UI Light"/>
          <w:color w:val="64748B"/>
          <w:sz w:val="20"/>
        </w:rPr>
        <w:t>L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Role Overload (L) + Emotional Demand (L) + Meaningful Work (H)</w:t>
            </w:r>
          </w:p>
        </w:tc>
        <w:tc>
          <w:tcPr>
            <w:tcW w:type="dxa" w:w="1700"/>
            <w:vAlign w:val="center"/>
          </w:tcPr>
          <w:p>
            <w:pPr>
              <w:keepNext/>
              <w:spacing w:after="60" w:before="60"/>
              <w:jc w:val="center"/>
            </w:pPr>
            <w:r>
              <w:rPr>
                <w:rFonts w:ascii="Segoe UI Light" w:hAnsi="Segoe UI Light"/>
                <w:b w:val="0"/>
                <w:sz w:val="18"/>
              </w:rPr>
              <w:t>33.3%</w:t>
            </w:r>
          </w:p>
        </w:tc>
        <w:tc>
          <w:tcPr>
            <w:tcW w:type="dxa" w:w="1700"/>
            <w:vAlign w:val="center"/>
          </w:tcPr>
          <w:p>
            <w:pPr>
              <w:keepNext/>
              <w:spacing w:after="60" w:before="60"/>
              <w:jc w:val="center"/>
            </w:pPr>
            <w:r>
              <w:rPr>
                <w:rFonts w:ascii="Segoe UI Light" w:hAnsi="Segoe UI Light"/>
                <w:b w:val="0"/>
                <w:sz w:val="18"/>
              </w:rPr>
              <w:t>66.1%</w:t>
            </w:r>
          </w:p>
        </w:tc>
        <w:tc>
          <w:tcPr>
            <w:tcW w:type="dxa" w:w="1700"/>
            <w:vAlign w:val="center"/>
          </w:tcPr>
          <w:p>
            <w:pPr>
              <w:keepNext/>
              <w:spacing w:after="60" w:before="60"/>
              <w:jc w:val="center"/>
            </w:pPr>
            <w:r>
              <w:rPr>
                <w:rFonts w:ascii="Segoe UI Light" w:hAnsi="Segoe UI Light"/>
                <w:b w:val="0"/>
                <w:sz w:val="18"/>
              </w:rPr>
              <w:t>+32.7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Emotional Demand (L) + Recognition (H)</w:t>
            </w:r>
          </w:p>
        </w:tc>
        <w:tc>
          <w:tcPr>
            <w:tcW w:type="dxa" w:w="1700"/>
            <w:shd w:fill="F1F5F9" w:val="clear"/>
            <w:vAlign w:val="center"/>
          </w:tcPr>
          <w:p>
            <w:pPr>
              <w:keepNext/>
              <w:spacing w:after="60" w:before="60"/>
              <w:jc w:val="center"/>
            </w:pPr>
            <w:r>
              <w:rPr>
                <w:rFonts w:ascii="Segoe UI Light" w:hAnsi="Segoe UI Light"/>
                <w:b w:val="0"/>
                <w:sz w:val="18"/>
              </w:rPr>
              <w:t>33.3%</w:t>
            </w:r>
          </w:p>
        </w:tc>
        <w:tc>
          <w:tcPr>
            <w:tcW w:type="dxa" w:w="1700"/>
            <w:shd w:fill="F1F5F9" w:val="clear"/>
            <w:vAlign w:val="center"/>
          </w:tcPr>
          <w:p>
            <w:pPr>
              <w:keepNext/>
              <w:spacing w:after="60" w:before="60"/>
              <w:jc w:val="center"/>
            </w:pPr>
            <w:r>
              <w:rPr>
                <w:rFonts w:ascii="Segoe UI Light" w:hAnsi="Segoe UI Light"/>
                <w:b w:val="0"/>
                <w:sz w:val="18"/>
              </w:rPr>
              <w:t>65.5%</w:t>
            </w:r>
          </w:p>
        </w:tc>
        <w:tc>
          <w:tcPr>
            <w:tcW w:type="dxa" w:w="1700"/>
            <w:shd w:fill="F1F5F9" w:val="clear"/>
            <w:vAlign w:val="center"/>
          </w:tcPr>
          <w:p>
            <w:pPr>
              <w:keepNext/>
              <w:spacing w:after="60" w:before="60"/>
              <w:jc w:val="center"/>
            </w:pPr>
            <w:r>
              <w:rPr>
                <w:rFonts w:ascii="Segoe UI Light" w:hAnsi="Segoe UI Light"/>
                <w:b w:val="0"/>
                <w:sz w:val="18"/>
              </w:rPr>
              <w:t>+32.1 pp</w:t>
            </w:r>
          </w:p>
        </w:tc>
      </w:tr>
      <w:tr>
        <w:trPr>
          <w:cantSplit/>
        </w:trPr>
        <w:tc>
          <w:tcPr>
            <w:tcW w:type="dxa" w:w="4535"/>
            <w:vAlign w:val="center"/>
          </w:tcPr>
          <w:p>
            <w:pPr>
              <w:keepNext/>
              <w:spacing w:after="60" w:before="60"/>
              <w:jc w:val="left"/>
            </w:pPr>
            <w:r>
              <w:rPr>
                <w:rFonts w:ascii="Segoe UI Light" w:hAnsi="Segoe UI Light"/>
                <w:b w:val="0"/>
                <w:sz w:val="18"/>
              </w:rPr>
              <w:t>Role Overload (L) + Emotional Demand (L) + Work Life Conflict (L)</w:t>
            </w:r>
          </w:p>
        </w:tc>
        <w:tc>
          <w:tcPr>
            <w:tcW w:type="dxa" w:w="1700"/>
            <w:vAlign w:val="center"/>
          </w:tcPr>
          <w:p>
            <w:pPr>
              <w:keepNext/>
              <w:spacing w:after="60" w:before="60"/>
              <w:jc w:val="center"/>
            </w:pPr>
            <w:r>
              <w:rPr>
                <w:rFonts w:ascii="Segoe UI Light" w:hAnsi="Segoe UI Light"/>
                <w:b w:val="0"/>
                <w:sz w:val="18"/>
              </w:rPr>
              <w:t>33.3%</w:t>
            </w:r>
          </w:p>
        </w:tc>
        <w:tc>
          <w:tcPr>
            <w:tcW w:type="dxa" w:w="1700"/>
            <w:vAlign w:val="center"/>
          </w:tcPr>
          <w:p>
            <w:pPr>
              <w:keepNext/>
              <w:spacing w:after="60" w:before="60"/>
              <w:jc w:val="center"/>
            </w:pPr>
            <w:r>
              <w:rPr>
                <w:rFonts w:ascii="Segoe UI Light" w:hAnsi="Segoe UI Light"/>
                <w:b w:val="0"/>
                <w:sz w:val="18"/>
              </w:rPr>
              <w:t>64.9%</w:t>
            </w:r>
          </w:p>
        </w:tc>
        <w:tc>
          <w:tcPr>
            <w:tcW w:type="dxa" w:w="1700"/>
            <w:vAlign w:val="center"/>
          </w:tcPr>
          <w:p>
            <w:pPr>
              <w:keepNext/>
              <w:spacing w:after="60" w:before="60"/>
              <w:jc w:val="center"/>
            </w:pPr>
            <w:r>
              <w:rPr>
                <w:rFonts w:ascii="Segoe UI Light" w:hAnsi="Segoe UI Light"/>
                <w:b w:val="0"/>
                <w:sz w:val="18"/>
              </w:rPr>
              <w:t>+31.6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Work Life Conflict (L) + Meaningful Work (H)</w:t>
            </w:r>
          </w:p>
        </w:tc>
        <w:tc>
          <w:tcPr>
            <w:tcW w:type="dxa" w:w="1700"/>
            <w:shd w:fill="F1F5F9" w:val="clear"/>
            <w:vAlign w:val="center"/>
          </w:tcPr>
          <w:p>
            <w:pPr>
              <w:keepNext/>
              <w:spacing w:after="60" w:before="60"/>
              <w:jc w:val="center"/>
            </w:pPr>
            <w:r>
              <w:rPr>
                <w:rFonts w:ascii="Segoe UI Light" w:hAnsi="Segoe UI Light"/>
                <w:b w:val="0"/>
                <w:sz w:val="18"/>
              </w:rPr>
              <w:t>33.3%</w:t>
            </w:r>
          </w:p>
        </w:tc>
        <w:tc>
          <w:tcPr>
            <w:tcW w:type="dxa" w:w="1700"/>
            <w:shd w:fill="F1F5F9" w:val="clear"/>
            <w:vAlign w:val="center"/>
          </w:tcPr>
          <w:p>
            <w:pPr>
              <w:keepNext/>
              <w:spacing w:after="60" w:before="60"/>
              <w:jc w:val="center"/>
            </w:pPr>
            <w:r>
              <w:rPr>
                <w:rFonts w:ascii="Segoe UI Light" w:hAnsi="Segoe UI Light"/>
                <w:b w:val="0"/>
                <w:sz w:val="18"/>
              </w:rPr>
              <w:t>64.2%</w:t>
            </w:r>
          </w:p>
        </w:tc>
        <w:tc>
          <w:tcPr>
            <w:tcW w:type="dxa" w:w="1700"/>
            <w:shd w:fill="F1F5F9" w:val="clear"/>
            <w:vAlign w:val="center"/>
          </w:tcPr>
          <w:p>
            <w:pPr>
              <w:keepNext/>
              <w:spacing w:after="60" w:before="60"/>
              <w:jc w:val="center"/>
            </w:pPr>
            <w:r>
              <w:rPr>
                <w:rFonts w:ascii="Segoe UI Light" w:hAnsi="Segoe UI Light"/>
                <w:b w:val="0"/>
                <w:sz w:val="18"/>
              </w:rPr>
              <w:t>+30.8 pp</w:t>
            </w:r>
          </w:p>
        </w:tc>
      </w:tr>
      <w:tr>
        <w:trPr>
          <w:cantSplit/>
        </w:trPr>
        <w:tc>
          <w:tcPr>
            <w:tcW w:type="dxa" w:w="4535"/>
            <w:vAlign w:val="center"/>
          </w:tcPr>
          <w:p>
            <w:pPr>
              <w:keepNext w:val="0"/>
              <w:spacing w:after="60" w:before="60"/>
              <w:jc w:val="left"/>
            </w:pPr>
            <w:r>
              <w:rPr>
                <w:rFonts w:ascii="Segoe UI Light" w:hAnsi="Segoe UI Light"/>
                <w:b w:val="0"/>
                <w:sz w:val="18"/>
              </w:rPr>
              <w:t>Role Overload (L) + Emotional Demand (L) + Procedural Justice (H)</w:t>
            </w:r>
          </w:p>
        </w:tc>
        <w:tc>
          <w:tcPr>
            <w:tcW w:type="dxa" w:w="1700"/>
            <w:vAlign w:val="center"/>
          </w:tcPr>
          <w:p>
            <w:pPr>
              <w:keepNext w:val="0"/>
              <w:spacing w:after="60" w:before="60"/>
              <w:jc w:val="center"/>
            </w:pPr>
            <w:r>
              <w:rPr>
                <w:rFonts w:ascii="Segoe UI Light" w:hAnsi="Segoe UI Light"/>
                <w:b w:val="0"/>
                <w:sz w:val="18"/>
              </w:rPr>
              <w:t>33.3%</w:t>
            </w:r>
          </w:p>
        </w:tc>
        <w:tc>
          <w:tcPr>
            <w:tcW w:type="dxa" w:w="1700"/>
            <w:vAlign w:val="center"/>
          </w:tcPr>
          <w:p>
            <w:pPr>
              <w:keepNext w:val="0"/>
              <w:spacing w:after="60" w:before="60"/>
              <w:jc w:val="center"/>
            </w:pPr>
            <w:r>
              <w:rPr>
                <w:rFonts w:ascii="Segoe UI Light" w:hAnsi="Segoe UI Light"/>
                <w:b w:val="0"/>
                <w:sz w:val="18"/>
              </w:rPr>
              <w:t>63.3%</w:t>
            </w:r>
          </w:p>
        </w:tc>
        <w:tc>
          <w:tcPr>
            <w:tcW w:type="dxa" w:w="1700"/>
            <w:vAlign w:val="center"/>
          </w:tcPr>
          <w:p>
            <w:pPr>
              <w:keepNext w:val="0"/>
              <w:spacing w:after="60" w:before="60"/>
              <w:jc w:val="center"/>
            </w:pPr>
            <w:r>
              <w:rPr>
                <w:rFonts w:ascii="Segoe UI Light" w:hAnsi="Segoe UI Light"/>
                <w:b w:val="0"/>
                <w:sz w:val="18"/>
              </w:rPr>
              <w:t>+30.0 pp</w:t>
            </w:r>
          </w:p>
        </w:tc>
      </w:tr>
    </w:tbl>
    <w:p>
      <w:pPr>
        <w:pStyle w:val="Heading3"/>
      </w:pPr>
      <w:r>
        <w:rPr>
          <w:rFonts w:ascii="Segoe UI Light" w:hAnsi="Segoe UI Light"/>
          <w:b/>
          <w:color w:val="2D5A8E"/>
          <w:sz w:val="21"/>
        </w:rPr>
        <w:t>Top combined scenarios: Psych Distress</w:t>
      </w:r>
    </w:p>
    <w:p>
      <w:pPr>
        <w:spacing w:after="160"/>
      </w:pPr>
      <w:r>
        <w:rPr>
          <w:rFonts w:ascii="Segoe UI Light" w:hAnsi="Segoe UI Light"/>
          <w:color w:val="64748B"/>
          <w:sz w:val="20"/>
        </w:rPr>
        <w:t>L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Role Overload (L) + Work Life Conflict (L) + Job Insecurity (L)</w:t>
            </w:r>
          </w:p>
        </w:tc>
        <w:tc>
          <w:tcPr>
            <w:tcW w:type="dxa" w:w="1700"/>
            <w:vAlign w:val="center"/>
          </w:tcPr>
          <w:p>
            <w:pPr>
              <w:keepNext/>
              <w:spacing w:after="60" w:before="60"/>
              <w:jc w:val="center"/>
            </w:pPr>
            <w:r>
              <w:rPr>
                <w:rFonts w:ascii="Segoe UI Light" w:hAnsi="Segoe UI Light"/>
                <w:b w:val="0"/>
                <w:sz w:val="18"/>
              </w:rPr>
              <w:t>45.4%</w:t>
            </w:r>
          </w:p>
        </w:tc>
        <w:tc>
          <w:tcPr>
            <w:tcW w:type="dxa" w:w="1700"/>
            <w:vAlign w:val="center"/>
          </w:tcPr>
          <w:p>
            <w:pPr>
              <w:keepNext/>
              <w:spacing w:after="60" w:before="60"/>
              <w:jc w:val="center"/>
            </w:pPr>
            <w:r>
              <w:rPr>
                <w:rFonts w:ascii="Segoe UI Light" w:hAnsi="Segoe UI Light"/>
                <w:b w:val="0"/>
                <w:sz w:val="18"/>
              </w:rPr>
              <w:t>66.8%</w:t>
            </w:r>
          </w:p>
        </w:tc>
        <w:tc>
          <w:tcPr>
            <w:tcW w:type="dxa" w:w="1700"/>
            <w:vAlign w:val="center"/>
          </w:tcPr>
          <w:p>
            <w:pPr>
              <w:keepNext/>
              <w:spacing w:after="60" w:before="60"/>
              <w:jc w:val="center"/>
            </w:pPr>
            <w:r>
              <w:rPr>
                <w:rFonts w:ascii="Segoe UI Light" w:hAnsi="Segoe UI Light"/>
                <w:b w:val="0"/>
                <w:sz w:val="18"/>
              </w:rPr>
              <w:t>+21.4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Emotional Demand (L) + Work Life Conflict (L)</w:t>
            </w:r>
          </w:p>
        </w:tc>
        <w:tc>
          <w:tcPr>
            <w:tcW w:type="dxa" w:w="1700"/>
            <w:shd w:fill="F1F5F9" w:val="clear"/>
            <w:vAlign w:val="center"/>
          </w:tcPr>
          <w:p>
            <w:pPr>
              <w:keepNext/>
              <w:spacing w:after="60" w:before="60"/>
              <w:jc w:val="center"/>
            </w:pPr>
            <w:r>
              <w:rPr>
                <w:rFonts w:ascii="Segoe UI Light" w:hAnsi="Segoe UI Light"/>
                <w:b w:val="0"/>
                <w:sz w:val="18"/>
              </w:rPr>
              <w:t>45.4%</w:t>
            </w:r>
          </w:p>
        </w:tc>
        <w:tc>
          <w:tcPr>
            <w:tcW w:type="dxa" w:w="1700"/>
            <w:shd w:fill="F1F5F9" w:val="clear"/>
            <w:vAlign w:val="center"/>
          </w:tcPr>
          <w:p>
            <w:pPr>
              <w:keepNext/>
              <w:spacing w:after="60" w:before="60"/>
              <w:jc w:val="center"/>
            </w:pPr>
            <w:r>
              <w:rPr>
                <w:rFonts w:ascii="Segoe UI Light" w:hAnsi="Segoe UI Light"/>
                <w:b w:val="0"/>
                <w:sz w:val="18"/>
              </w:rPr>
              <w:t>64.9%</w:t>
            </w:r>
          </w:p>
        </w:tc>
        <w:tc>
          <w:tcPr>
            <w:tcW w:type="dxa" w:w="1700"/>
            <w:shd w:fill="F1F5F9" w:val="clear"/>
            <w:vAlign w:val="center"/>
          </w:tcPr>
          <w:p>
            <w:pPr>
              <w:keepNext/>
              <w:spacing w:after="60" w:before="60"/>
              <w:jc w:val="center"/>
            </w:pPr>
            <w:r>
              <w:rPr>
                <w:rFonts w:ascii="Segoe UI Light" w:hAnsi="Segoe UI Light"/>
                <w:b w:val="0"/>
                <w:sz w:val="18"/>
              </w:rPr>
              <w:t>+19.5 pp</w:t>
            </w:r>
          </w:p>
        </w:tc>
      </w:tr>
      <w:tr>
        <w:trPr>
          <w:cantSplit/>
        </w:trPr>
        <w:tc>
          <w:tcPr>
            <w:tcW w:type="dxa" w:w="4535"/>
            <w:vAlign w:val="center"/>
          </w:tcPr>
          <w:p>
            <w:pPr>
              <w:keepNext/>
              <w:spacing w:after="60" w:before="60"/>
              <w:jc w:val="left"/>
            </w:pPr>
            <w:r>
              <w:rPr>
                <w:rFonts w:ascii="Segoe UI Light" w:hAnsi="Segoe UI Light"/>
                <w:b w:val="0"/>
                <w:sz w:val="18"/>
              </w:rPr>
              <w:t>Role Overload (L) + Work Life Conflict (L) + Meaningful Work (H)</w:t>
            </w:r>
          </w:p>
        </w:tc>
        <w:tc>
          <w:tcPr>
            <w:tcW w:type="dxa" w:w="1700"/>
            <w:vAlign w:val="center"/>
          </w:tcPr>
          <w:p>
            <w:pPr>
              <w:keepNext/>
              <w:spacing w:after="60" w:before="60"/>
              <w:jc w:val="center"/>
            </w:pPr>
            <w:r>
              <w:rPr>
                <w:rFonts w:ascii="Segoe UI Light" w:hAnsi="Segoe UI Light"/>
                <w:b w:val="0"/>
                <w:sz w:val="18"/>
              </w:rPr>
              <w:t>45.4%</w:t>
            </w:r>
          </w:p>
        </w:tc>
        <w:tc>
          <w:tcPr>
            <w:tcW w:type="dxa" w:w="1700"/>
            <w:vAlign w:val="center"/>
          </w:tcPr>
          <w:p>
            <w:pPr>
              <w:keepNext/>
              <w:spacing w:after="60" w:before="60"/>
              <w:jc w:val="center"/>
            </w:pPr>
            <w:r>
              <w:rPr>
                <w:rFonts w:ascii="Segoe UI Light" w:hAnsi="Segoe UI Light"/>
                <w:b w:val="0"/>
                <w:sz w:val="18"/>
              </w:rPr>
              <w:t>64.8%</w:t>
            </w:r>
          </w:p>
        </w:tc>
        <w:tc>
          <w:tcPr>
            <w:tcW w:type="dxa" w:w="1700"/>
            <w:vAlign w:val="center"/>
          </w:tcPr>
          <w:p>
            <w:pPr>
              <w:keepNext/>
              <w:spacing w:after="60" w:before="60"/>
              <w:jc w:val="center"/>
            </w:pPr>
            <w:r>
              <w:rPr>
                <w:rFonts w:ascii="Segoe UI Light" w:hAnsi="Segoe UI Light"/>
                <w:b w:val="0"/>
                <w:sz w:val="18"/>
              </w:rPr>
              <w:t>+19.4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Work Life Conflict (L) + Change Consultation (H)</w:t>
            </w:r>
          </w:p>
        </w:tc>
        <w:tc>
          <w:tcPr>
            <w:tcW w:type="dxa" w:w="1700"/>
            <w:shd w:fill="F1F5F9" w:val="clear"/>
            <w:vAlign w:val="center"/>
          </w:tcPr>
          <w:p>
            <w:pPr>
              <w:keepNext/>
              <w:spacing w:after="60" w:before="60"/>
              <w:jc w:val="center"/>
            </w:pPr>
            <w:r>
              <w:rPr>
                <w:rFonts w:ascii="Segoe UI Light" w:hAnsi="Segoe UI Light"/>
                <w:b w:val="0"/>
                <w:sz w:val="18"/>
              </w:rPr>
              <w:t>45.4%</w:t>
            </w:r>
          </w:p>
        </w:tc>
        <w:tc>
          <w:tcPr>
            <w:tcW w:type="dxa" w:w="1700"/>
            <w:shd w:fill="F1F5F9" w:val="clear"/>
            <w:vAlign w:val="center"/>
          </w:tcPr>
          <w:p>
            <w:pPr>
              <w:keepNext/>
              <w:spacing w:after="60" w:before="60"/>
              <w:jc w:val="center"/>
            </w:pPr>
            <w:r>
              <w:rPr>
                <w:rFonts w:ascii="Segoe UI Light" w:hAnsi="Segoe UI Light"/>
                <w:b w:val="0"/>
                <w:sz w:val="18"/>
              </w:rPr>
              <w:t>64.6%</w:t>
            </w:r>
          </w:p>
        </w:tc>
        <w:tc>
          <w:tcPr>
            <w:tcW w:type="dxa" w:w="1700"/>
            <w:shd w:fill="F1F5F9" w:val="clear"/>
            <w:vAlign w:val="center"/>
          </w:tcPr>
          <w:p>
            <w:pPr>
              <w:keepNext/>
              <w:spacing w:after="60" w:before="60"/>
              <w:jc w:val="center"/>
            </w:pPr>
            <w:r>
              <w:rPr>
                <w:rFonts w:ascii="Segoe UI Light" w:hAnsi="Segoe UI Light"/>
                <w:b w:val="0"/>
                <w:sz w:val="18"/>
              </w:rPr>
              <w:t>+19.2 pp</w:t>
            </w:r>
          </w:p>
        </w:tc>
      </w:tr>
      <w:tr>
        <w:trPr>
          <w:cantSplit/>
        </w:trPr>
        <w:tc>
          <w:tcPr>
            <w:tcW w:type="dxa" w:w="4535"/>
            <w:vAlign w:val="center"/>
          </w:tcPr>
          <w:p>
            <w:pPr>
              <w:keepNext w:val="0"/>
              <w:spacing w:after="60" w:before="60"/>
              <w:jc w:val="left"/>
            </w:pPr>
            <w:r>
              <w:rPr>
                <w:rFonts w:ascii="Segoe UI Light" w:hAnsi="Segoe UI Light"/>
                <w:b w:val="0"/>
                <w:sz w:val="18"/>
              </w:rPr>
              <w:t>Role Overload (L) + Work Life Conflict (L) + Recognition (H)</w:t>
            </w:r>
          </w:p>
        </w:tc>
        <w:tc>
          <w:tcPr>
            <w:tcW w:type="dxa" w:w="1700"/>
            <w:vAlign w:val="center"/>
          </w:tcPr>
          <w:p>
            <w:pPr>
              <w:keepNext w:val="0"/>
              <w:spacing w:after="60" w:before="60"/>
              <w:jc w:val="center"/>
            </w:pPr>
            <w:r>
              <w:rPr>
                <w:rFonts w:ascii="Segoe UI Light" w:hAnsi="Segoe UI Light"/>
                <w:b w:val="0"/>
                <w:sz w:val="18"/>
              </w:rPr>
              <w:t>45.4%</w:t>
            </w:r>
          </w:p>
        </w:tc>
        <w:tc>
          <w:tcPr>
            <w:tcW w:type="dxa" w:w="1700"/>
            <w:vAlign w:val="center"/>
          </w:tcPr>
          <w:p>
            <w:pPr>
              <w:keepNext w:val="0"/>
              <w:spacing w:after="60" w:before="60"/>
              <w:jc w:val="center"/>
            </w:pPr>
            <w:r>
              <w:rPr>
                <w:rFonts w:ascii="Segoe UI Light" w:hAnsi="Segoe UI Light"/>
                <w:b w:val="0"/>
                <w:sz w:val="18"/>
              </w:rPr>
              <w:t>64.5%</w:t>
            </w:r>
          </w:p>
        </w:tc>
        <w:tc>
          <w:tcPr>
            <w:tcW w:type="dxa" w:w="1700"/>
            <w:vAlign w:val="center"/>
          </w:tcPr>
          <w:p>
            <w:pPr>
              <w:keepNext w:val="0"/>
              <w:spacing w:after="60" w:before="60"/>
              <w:jc w:val="center"/>
            </w:pPr>
            <w:r>
              <w:rPr>
                <w:rFonts w:ascii="Segoe UI Light" w:hAnsi="Segoe UI Light"/>
                <w:b w:val="0"/>
                <w:sz w:val="18"/>
              </w:rPr>
              <w:t>+19.0 pp</w:t>
            </w:r>
          </w:p>
        </w:tc>
      </w:tr>
    </w:tbl>
    <w:p>
      <w:bookmarkStart w:id="25" w:name="_PWToc25"/>
      <w:pPr>
        <w:pStyle w:val="Heading2"/>
        <w:keepNext/>
        <w:keepLines/>
      </w:pPr>
      <w:r>
        <w:rPr>
          <w:rFonts w:ascii="Segoe UI Light" w:hAnsi="Segoe UI Light"/>
          <w:b/>
          <w:color w:val="2D5A8E"/>
          <w:sz w:val="22"/>
        </w:rPr>
        <w:t>A5 – Methodology and How to Read These Tables</w:t>
      </w:r>
      <w:bookmarkEnd w:id="25"/>
    </w:p>
    <w:p>
      <w:pPr>
        <w:keepNext/>
        <w:keepLines/>
        <w:spacing w:after="120"/>
      </w:pPr>
      <w:r>
        <w:rPr>
          <w:rFonts w:ascii="Segoe UI Light" w:hAnsi="Segoe UI Light"/>
          <w:sz w:val="21"/>
        </w:rPr>
        <w:t>These are estimates from the supplied model. No response-fitting record is available in this export. A sector label alone does not establish a survey source or representative sector observations. The recorded information does not establish a measured baseline for this workplace.</w:t>
      </w:r>
    </w:p>
    <w:p>
      <w:pPr>
        <w:keepNext/>
        <w:keepLines/>
        <w:spacing w:after="120"/>
      </w:pPr>
      <w:r>
        <w:rPr>
          <w:rFonts w:ascii="Segoe UI Light" w:hAnsi="Segoe UI Light"/>
          <w:sz w:val="21"/>
        </w:rPr>
        <w:t>Factors use the state labels recorded in the supplied model; they need not all use the same scale. Scenarios are hypothetical planning comparisons, not promises of achievable change or proof of causation. Changing one factor can also change related factors. Percentages describe the selected state; percentage points describe differences. A summed outcome score is a comparison score, not a percentage of workers.</w:t>
      </w:r>
    </w:p>
    <w:p>
      <w:pPr>
        <w:keepNext/>
        <w:keepLines/>
        <w:spacing w:after="120"/>
      </w:pPr>
      <w:r>
        <w:rPr>
          <w:rFonts w:ascii="Segoe UI Light" w:hAnsi="Segoe UI Light"/>
          <w:sz w:val="21"/>
        </w:rPr>
        <w:t>Numerical uncertainty ranges are not available. Consider answer coverage, the model's source and worker consultation when deciding what to do. Use Data Analytics to explore other factors and scenarios.</w:t>
      </w:r>
    </w:p>
    <w:p>
      <w:pPr>
        <w:keepLines/>
        <w:spacing w:after="120"/>
      </w:pPr>
      <w:r>
        <w:rPr>
          <w:rFonts w:ascii="Segoe UI Light" w:hAnsi="Segoe UI Light"/>
          <w:sz w:val="21"/>
        </w:rPr>
        <w:t>Displayed values are rounded. Complete distributions may not total exactly 100%, and changes or summed scores may differ slightly from calculations using the displayed figures.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Light" w:hAnsi="Segoe UI Light"/>
        <w:color w:val="94A3B8"/>
        <w:sz w:val="16"/>
      </w:rPr>
      <w:t xml:space="preserve">Test Org  ·  </w:t>
    </w:r>
    <w:r>
      <w:rPr>
        <w:rFonts w:ascii="Segoe UI Light" w:hAnsi="Segoe UI Light"/>
        <w:color w:val="94A3B8"/>
        <w:sz w:val="16"/>
      </w:rPr>
      <w:t xml:space="preserve">Page </w:t>
    </w:r>
    <w:r>
      <w:rPr>
        <w:rFonts w:ascii="Segoe UI Light" w:hAnsi="Segoe UI Light"/>
        <w:color w:val="94A3B8"/>
        <w:sz w:val="16"/>
      </w:rPr>
      <w:fldChar w:fldCharType="begin"/>
    </w:r>
    <w:r>
      <w:rPr>
        <w:rFonts w:ascii="Segoe UI Light" w:hAnsi="Segoe UI Light"/>
        <w:color w:val="94A3B8"/>
        <w:sz w:val="16"/>
      </w:rPr>
      <w:instrText xml:space="preserve"> PAGE </w:instrText>
    </w:r>
    <w:r>
      <w:rPr>
        <w:rFonts w:ascii="Segoe UI Light" w:hAnsi="Segoe UI Light"/>
        <w:color w:val="94A3B8"/>
        <w:sz w:val="16"/>
      </w:rPr>
      <w:fldChar w:fldCharType="end"/>
    </w:r>
    <w:r>
      <w:rPr>
        <w:rFonts w:ascii="Segoe UI Light" w:hAnsi="Segoe UI Light"/>
        <w:color w:val="94A3B8"/>
        <w:sz w:val="16"/>
      </w:rPr>
      <w:t xml:space="preserve">  ·  Prior Work  ·  priorwork.au  ·  © 2026 Prior Work. Released under CC BY-NC-SA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lvl w:ilvl="0">
      <w:start w:val="1"/>
      <w:numFmt w:val="decimal"/>
      <w:lvlText w:val="%1."/>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pPr>
    <w:rPr>
      <w:rFonts w:ascii="Segoe UI Light" w:hAnsi="Segoe U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Light" w:hAnsi="Segoe UI Light"/>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Light" w:hAnsi="Segoe UI Light"/>
      <w:b/>
      <w:bCs/>
      <w:color w:val="2D5A8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ind w:left="340" w:right="227"/>
    </w:pPr>
    <w:rPr>
      <w:rFonts w:ascii="Segoe UI Light" w:hAnsi="Segoe UI Light"/>
      <w:i w:val="0"/>
      <w:iCs/>
      <w:color w:val="1F2937"/>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